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D2C9A" w14:textId="77777777" w:rsidR="004B3CD6" w:rsidRPr="00FB2265" w:rsidRDefault="004B3CD6" w:rsidP="004B3CD6">
      <w:pPr>
        <w:jc w:val="center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 xml:space="preserve">PROYECTO DE </w:t>
      </w:r>
      <w:r w:rsidRPr="00FB2265">
        <w:rPr>
          <w:rFonts w:ascii="Arial" w:hAnsi="Arial" w:cs="Arial"/>
          <w:b/>
          <w:lang w:val="es-ES_tradnl"/>
        </w:rPr>
        <w:t>LEY ORGÁNICA PARA LA PROTECCIÓN DE LOS</w:t>
      </w:r>
    </w:p>
    <w:p w14:paraId="4AA4F014" w14:textId="77777777" w:rsidR="004B3CD6" w:rsidRPr="003630B9" w:rsidRDefault="004B3CD6" w:rsidP="004B3CD6">
      <w:pPr>
        <w:jc w:val="center"/>
        <w:rPr>
          <w:rFonts w:ascii="Arial" w:hAnsi="Arial" w:cs="Arial"/>
          <w:b/>
          <w:lang w:val="es-ES_tradnl"/>
        </w:rPr>
      </w:pPr>
      <w:r w:rsidRPr="00FB2265">
        <w:rPr>
          <w:rFonts w:ascii="Arial" w:hAnsi="Arial" w:cs="Arial"/>
          <w:b/>
          <w:lang w:val="es-ES_tradnl"/>
        </w:rPr>
        <w:t xml:space="preserve"> DERECHOS SOCIOECONÓMICOS</w:t>
      </w:r>
    </w:p>
    <w:p w14:paraId="349B0AD4" w14:textId="77777777" w:rsidR="004B3CD6" w:rsidRDefault="004B3CD6" w:rsidP="004B3CD6">
      <w:pPr>
        <w:pStyle w:val="NormalWeb"/>
        <w:shd w:val="clear" w:color="auto" w:fill="FFFFFF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EXPOSICIÓN DE MOTIVOS </w:t>
      </w:r>
    </w:p>
    <w:p w14:paraId="3AFB3F82" w14:textId="77777777" w:rsidR="004B3CD6" w:rsidRDefault="004B3CD6" w:rsidP="004B3CD6">
      <w:pPr>
        <w:pStyle w:val="NormalWeb"/>
        <w:shd w:val="clear" w:color="auto" w:fill="FFFFFF"/>
        <w:jc w:val="both"/>
        <w:rPr>
          <w:rFonts w:ascii="Arial" w:hAnsi="Arial" w:cs="Arial"/>
        </w:rPr>
      </w:pPr>
      <w:r w:rsidRPr="004703FA">
        <w:rPr>
          <w:rFonts w:ascii="Arial" w:hAnsi="Arial" w:cs="Arial"/>
        </w:rPr>
        <w:t>La Constitución de la República Bolivariana de Venezuela prevé un régimen socioeconómico basado en los principios de justicia social, democracia, eficiencia, libre competencia, protección del ambiente, productividad y solidaridad, a los fines de asegurar el desarrollo humano integral y una existencia digna y provechosa para la colectividad.</w:t>
      </w:r>
    </w:p>
    <w:p w14:paraId="53C0258F" w14:textId="77777777" w:rsidR="004B3CD6" w:rsidRDefault="004B3CD6" w:rsidP="004B3CD6">
      <w:pPr>
        <w:pStyle w:val="NormalWeb"/>
        <w:shd w:val="clear" w:color="auto" w:fill="FFFFFF"/>
        <w:jc w:val="both"/>
        <w:rPr>
          <w:rFonts w:ascii="ArialMT" w:hAnsi="ArialMT"/>
        </w:rPr>
      </w:pPr>
      <w:r>
        <w:rPr>
          <w:rFonts w:ascii="Arial" w:hAnsi="Arial" w:cs="Arial"/>
        </w:rPr>
        <w:t xml:space="preserve">Como parte de este diseño, el Texto Constitucional atribuye al Estado, junto con la iniciativa privada, la responsabilidad de </w:t>
      </w:r>
      <w:r>
        <w:rPr>
          <w:rFonts w:ascii="ArialMT" w:hAnsi="ArialMT"/>
        </w:rPr>
        <w:t>promover el desarrollo armónico de la economía nacional con el fin de generar fuentes de trabajo, alto valor agregado nacional, elevar el nivel de vida de la población y fortalecer la soberanía económica del país. En la busca de estos objetivos, es imperativo garantizar la seguridad jurídica, solidez, dinamismo, sustentabilidad, permanencia y equidad del crecimiento de la economía, para lograr una justa distribución de la riqueza mediante una planificación estratégica democrática participativa y de consulta abierta.</w:t>
      </w:r>
    </w:p>
    <w:p w14:paraId="0D6DB5CB" w14:textId="77777777" w:rsidR="004B3CD6" w:rsidRDefault="004B3CD6" w:rsidP="004B3CD6">
      <w:pPr>
        <w:pStyle w:val="NormalWeb"/>
        <w:shd w:val="clear" w:color="auto" w:fill="FFFFFF"/>
        <w:jc w:val="both"/>
        <w:rPr>
          <w:rFonts w:ascii="Arial" w:hAnsi="Arial" w:cs="Arial"/>
        </w:rPr>
      </w:pPr>
      <w:r>
        <w:rPr>
          <w:rFonts w:ascii="ArialMT" w:hAnsi="ArialMT"/>
        </w:rPr>
        <w:t xml:space="preserve">Con esta misma orientación, </w:t>
      </w:r>
      <w:r>
        <w:rPr>
          <w:rFonts w:ascii="Arial" w:hAnsi="Arial" w:cs="Arial"/>
        </w:rPr>
        <w:t>l</w:t>
      </w:r>
      <w:r w:rsidRPr="004703FA">
        <w:rPr>
          <w:rFonts w:ascii="Arial" w:hAnsi="Arial" w:cs="Arial"/>
        </w:rPr>
        <w:t>a Constitución de la República Bolivariana de Venezuela</w:t>
      </w:r>
      <w:r>
        <w:rPr>
          <w:rFonts w:ascii="Arial" w:hAnsi="Arial" w:cs="Arial"/>
        </w:rPr>
        <w:t xml:space="preserve"> consagra, por primera vez en nuestra historia republicana, un conjunto de derechos económicos integrados al amplio cuerpo de derechos humanos desarrollado en el Título Tercero del Texto Constitucional. Frente a cada uno de estos derechos, el Estado tiene la obligación de adoptar todas las medidas legislativas, administrativas y de cualquier otra índole, que resulten necesarias para garantizar su pleno goce y ejercicio irrenunciable, indivisible e interdependiente, sin discriminación alguna. </w:t>
      </w:r>
    </w:p>
    <w:p w14:paraId="44E3F43A" w14:textId="77777777" w:rsidR="004B3CD6" w:rsidRDefault="004B3CD6" w:rsidP="004B3CD6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Dentro de los referidos derechos, destaca de manera especial el reconocido en el artículo 117 Constitucional. Según este artículo, </w:t>
      </w:r>
      <w:r>
        <w:rPr>
          <w:rFonts w:ascii="ArialMT" w:hAnsi="ArialMT"/>
        </w:rPr>
        <w:t xml:space="preserve">todas las personas tienen derecho a disponer de bienes y servicios de calidad, así como a una información adecuada y no engañosa sobre el contenido y características de los productos y servicios que consumen, a la libertad de elección y a un trato equitativo y digno. Este derecho se complementa con las previsiones del artículo 114, según el cual el ilícito económico, la especulación, el acaparamiento, la usura, la cartelización y otros delitos conexos, deben ser penados severamente de acuerdo con la ley. </w:t>
      </w:r>
    </w:p>
    <w:p w14:paraId="781D39D9" w14:textId="77777777" w:rsidR="004B3CD6" w:rsidRPr="00D04C95" w:rsidRDefault="004B3CD6" w:rsidP="004B3CD6">
      <w:pPr>
        <w:pStyle w:val="NormalWeb"/>
        <w:shd w:val="clear" w:color="auto" w:fill="FFFFFF"/>
        <w:jc w:val="both"/>
        <w:rPr>
          <w:rFonts w:ascii="ArialMT" w:hAnsi="ArialMT"/>
        </w:rPr>
      </w:pPr>
      <w:r>
        <w:rPr>
          <w:rFonts w:ascii="ArialMT" w:hAnsi="ArialMT"/>
        </w:rPr>
        <w:t xml:space="preserve">Para garantizar estos derechos, el Texto Constitucional ordena la aprobación de una ley que establezca los mecanismos necesarios de protección, incluyendo las normas de control de calidad y cantidad de bienes y servicios, los procedimientos de defensa del público consumidor, el resarcimiento de los daños ocasionados y las sanciones correspondientes por la violación de estos derechos. </w:t>
      </w:r>
    </w:p>
    <w:p w14:paraId="14411F70" w14:textId="77777777" w:rsidR="004B3CD6" w:rsidRDefault="004B3CD6" w:rsidP="004B3CD6">
      <w:pPr>
        <w:jc w:val="both"/>
        <w:rPr>
          <w:rFonts w:ascii="Arial" w:hAnsi="Arial" w:cs="Arial"/>
        </w:rPr>
      </w:pPr>
      <w:r w:rsidRPr="00466DD7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p</w:t>
      </w:r>
      <w:r w:rsidRPr="00466DD7">
        <w:rPr>
          <w:rFonts w:ascii="Arial" w:hAnsi="Arial" w:cs="Arial"/>
        </w:rPr>
        <w:t xml:space="preserve">royecto de Ley Orgánica para la Protección de los Derechos Socioeconómicos busca honrar este mandato constitucional </w:t>
      </w:r>
      <w:r>
        <w:rPr>
          <w:rFonts w:ascii="Arial" w:hAnsi="Arial" w:cs="Arial"/>
        </w:rPr>
        <w:t>estableciendo las normas orientadas a g</w:t>
      </w:r>
      <w:r w:rsidRPr="003630B9">
        <w:rPr>
          <w:rFonts w:ascii="Arial" w:hAnsi="Arial" w:cs="Arial"/>
        </w:rPr>
        <w:t xml:space="preserve">arantizar los derechos socioeconómicos de las personas, especialmente el derecho a disponer de bienes y servicios de calidad. </w:t>
      </w:r>
      <w:r>
        <w:rPr>
          <w:rFonts w:ascii="Arial" w:hAnsi="Arial" w:cs="Arial"/>
        </w:rPr>
        <w:t xml:space="preserve"> </w:t>
      </w:r>
    </w:p>
    <w:p w14:paraId="215FCADB" w14:textId="77777777" w:rsidR="004B3CD6" w:rsidRDefault="004B3CD6" w:rsidP="004B3CD6">
      <w:pPr>
        <w:jc w:val="both"/>
        <w:rPr>
          <w:rFonts w:ascii="Arial" w:hAnsi="Arial" w:cs="Arial"/>
        </w:rPr>
      </w:pPr>
    </w:p>
    <w:p w14:paraId="72F5EBC1" w14:textId="77777777" w:rsidR="004B3CD6" w:rsidRDefault="004B3CD6" w:rsidP="004B3C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proyecto de Ley está compuesto de </w:t>
      </w:r>
      <w:r w:rsidRPr="002D4B38">
        <w:rPr>
          <w:rFonts w:ascii="Arial" w:hAnsi="Arial" w:cs="Arial"/>
          <w:highlight w:val="yellow"/>
        </w:rPr>
        <w:t>9</w:t>
      </w:r>
      <w:r>
        <w:rPr>
          <w:rFonts w:ascii="Arial" w:hAnsi="Arial" w:cs="Arial"/>
          <w:highlight w:val="yellow"/>
        </w:rPr>
        <w:t>6</w:t>
      </w:r>
      <w:r w:rsidRPr="002D4B38">
        <w:rPr>
          <w:rFonts w:ascii="Arial" w:hAnsi="Arial" w:cs="Arial"/>
          <w:highlight w:val="yellow"/>
        </w:rPr>
        <w:t xml:space="preserve"> artículos</w:t>
      </w:r>
      <w:r>
        <w:rPr>
          <w:rFonts w:ascii="Arial" w:hAnsi="Arial" w:cs="Arial"/>
        </w:rPr>
        <w:t xml:space="preserve">, distribuidos en cinco capítulos. Además, cuenta con cuatro disposiciones transitorias, una disposición derogatoria y una disposición final. </w:t>
      </w:r>
    </w:p>
    <w:p w14:paraId="5F622DCB" w14:textId="77777777" w:rsidR="004B3CD6" w:rsidRDefault="004B3CD6" w:rsidP="004B3CD6">
      <w:pPr>
        <w:jc w:val="both"/>
        <w:rPr>
          <w:rFonts w:ascii="Arial" w:hAnsi="Arial" w:cs="Arial"/>
        </w:rPr>
      </w:pPr>
    </w:p>
    <w:p w14:paraId="5483A720" w14:textId="77777777" w:rsidR="004B3CD6" w:rsidRDefault="004B3CD6" w:rsidP="004B3C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el Capítulo I se incorporan las disposiciones generales, tales como la finalidad, definiciones y los valores y principios. Resalta en este capítulo una norma que reafirma la aplicación de las disposiciones de la Ley a las operaciones de comercio electrónico, entendido como c</w:t>
      </w:r>
      <w:r w:rsidRPr="00B7067C">
        <w:rPr>
          <w:rFonts w:ascii="Arial" w:hAnsi="Arial" w:cs="Arial"/>
        </w:rPr>
        <w:t>ualquier forma de negocio, transacción comercial o intercambio de información con fines comerciales, que sea ejecutada a través del uso de tecnologías de información y comunicación</w:t>
      </w:r>
      <w:r>
        <w:rPr>
          <w:rFonts w:ascii="Arial" w:hAnsi="Arial" w:cs="Arial"/>
        </w:rPr>
        <w:t xml:space="preserve">. </w:t>
      </w:r>
    </w:p>
    <w:p w14:paraId="59AF636B" w14:textId="77777777" w:rsidR="004B3CD6" w:rsidRDefault="004B3CD6" w:rsidP="004B3CD6">
      <w:pPr>
        <w:jc w:val="both"/>
        <w:rPr>
          <w:rFonts w:ascii="Arial" w:hAnsi="Arial" w:cs="Arial"/>
        </w:rPr>
      </w:pPr>
    </w:p>
    <w:p w14:paraId="3885F62F" w14:textId="77777777" w:rsidR="004B3CD6" w:rsidRDefault="004B3CD6" w:rsidP="004B3C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Capítulo II está dedicado a regular los derechos y garantías de las personas, así como los deberes y prohibiciones de los prestadores de bienes y proveedores de servicios. En este sentido, a un amplio catálogo de derechos específicos se suman garantías en materia contractual, incluyendo los contratos de adhesión y las operaciones a crédito, así como en materia de</w:t>
      </w:r>
      <w:r w:rsidRPr="00DC265F">
        <w:rPr>
          <w:rFonts w:ascii="Arial" w:hAnsi="Arial" w:cs="Arial"/>
        </w:rPr>
        <w:t xml:space="preserve"> información adecuada sobre bienes y servicios</w:t>
      </w:r>
      <w:r>
        <w:rPr>
          <w:rFonts w:ascii="Arial" w:hAnsi="Arial" w:cs="Arial"/>
        </w:rPr>
        <w:t xml:space="preserve">. </w:t>
      </w:r>
    </w:p>
    <w:p w14:paraId="06423BA6" w14:textId="77777777" w:rsidR="004B3CD6" w:rsidRDefault="004B3CD6" w:rsidP="004B3CD6">
      <w:pPr>
        <w:jc w:val="both"/>
        <w:rPr>
          <w:rFonts w:ascii="Arial" w:hAnsi="Arial" w:cs="Arial"/>
        </w:rPr>
      </w:pPr>
    </w:p>
    <w:p w14:paraId="35F7093A" w14:textId="77777777" w:rsidR="004B3CD6" w:rsidRDefault="004B3CD6" w:rsidP="004B3C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Además, en este artículo se reconoce el </w:t>
      </w:r>
      <w:r w:rsidRPr="00E1718E">
        <w:rPr>
          <w:rFonts w:ascii="Arial" w:hAnsi="Arial" w:cs="Arial"/>
        </w:rPr>
        <w:t xml:space="preserve">derecho </w:t>
      </w:r>
      <w:r>
        <w:rPr>
          <w:rFonts w:ascii="Arial" w:hAnsi="Arial" w:cs="Arial"/>
        </w:rPr>
        <w:t xml:space="preserve"> de todas las personas </w:t>
      </w:r>
      <w:r w:rsidRPr="00E1718E">
        <w:rPr>
          <w:rFonts w:ascii="Arial" w:hAnsi="Arial" w:cs="Arial"/>
        </w:rPr>
        <w:t>a participar libremente en la promoción y defensa del derecho a disponer de bienes y servicios de calidad</w:t>
      </w:r>
      <w:r>
        <w:rPr>
          <w:rFonts w:ascii="Arial" w:hAnsi="Arial" w:cs="Arial"/>
        </w:rPr>
        <w:t xml:space="preserve">, junto al </w:t>
      </w:r>
      <w:r w:rsidRPr="00E1718E">
        <w:rPr>
          <w:rFonts w:ascii="Arial" w:hAnsi="Arial" w:cs="Arial"/>
        </w:rPr>
        <w:t>derecho a participar en la formación, ejecución y control de la gestión pública en materia de protección de derechos socioeconómicos</w:t>
      </w:r>
      <w:r>
        <w:rPr>
          <w:rFonts w:ascii="Arial" w:hAnsi="Arial" w:cs="Arial"/>
        </w:rPr>
        <w:t xml:space="preserve">. Destaca en este sentido, la creación de los Comités de Consumidores y Usuarios y como instancias de organización y participación popular, así como el reconocimiento de la labor de los Consejos Comunales en esta materia. </w:t>
      </w:r>
    </w:p>
    <w:p w14:paraId="6129B934" w14:textId="77777777" w:rsidR="004B3CD6" w:rsidRDefault="004B3CD6" w:rsidP="004B3CD6">
      <w:pPr>
        <w:jc w:val="both"/>
        <w:rPr>
          <w:rFonts w:ascii="Arial" w:hAnsi="Arial" w:cs="Arial"/>
        </w:rPr>
      </w:pPr>
    </w:p>
    <w:p w14:paraId="18B2F681" w14:textId="77777777" w:rsidR="004B3CD6" w:rsidRDefault="004B3CD6" w:rsidP="004B3C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Capítulo III se regula la institucionalidad para la protección de los derechos socioeconómicos, con especial énfasis en la Superintendencia Nacional de Protección de Derechos Socioeconómicos, cuya naturaleza y atribuciones es desarrollada en detalle, a los fines de dotar al Estado de una sólida institucionalidad que permita asegurar el cumplimiento de la Ley y garantizar de los derechos de la población. </w:t>
      </w:r>
    </w:p>
    <w:p w14:paraId="24A77AF2" w14:textId="77777777" w:rsidR="004B3CD6" w:rsidRDefault="004B3CD6" w:rsidP="004B3CD6">
      <w:pPr>
        <w:jc w:val="both"/>
        <w:rPr>
          <w:rFonts w:ascii="Arial" w:hAnsi="Arial" w:cs="Arial"/>
        </w:rPr>
      </w:pPr>
    </w:p>
    <w:p w14:paraId="482465B6" w14:textId="77777777" w:rsidR="004B3CD6" w:rsidRDefault="004B3CD6" w:rsidP="004B3CD6">
      <w:pPr>
        <w:jc w:val="both"/>
        <w:rPr>
          <w:rFonts w:ascii="Arial" w:eastAsia="SimSun" w:hAnsi="Arial" w:cs="Arial"/>
          <w:b/>
          <w:kern w:val="24"/>
          <w:lang w:val="es-ES_tradnl" w:eastAsia="es-VE"/>
        </w:rPr>
      </w:pPr>
      <w:r>
        <w:rPr>
          <w:rFonts w:ascii="Arial" w:hAnsi="Arial" w:cs="Arial"/>
        </w:rPr>
        <w:t xml:space="preserve">Como parte de esta institucionalidad, se crea el </w:t>
      </w:r>
      <w:r w:rsidRPr="00DE4DEB">
        <w:rPr>
          <w:rFonts w:ascii="Arial" w:eastAsia="SimSun" w:hAnsi="Arial" w:cs="Arial"/>
          <w:kern w:val="24"/>
          <w:lang w:val="es-ES_tradnl" w:eastAsia="es-VE"/>
        </w:rPr>
        <w:t>Sistema Nacional de Observación de Precio</w:t>
      </w:r>
      <w:r>
        <w:rPr>
          <w:rFonts w:ascii="Arial" w:eastAsia="SimSun" w:hAnsi="Arial" w:cs="Arial"/>
          <w:kern w:val="24"/>
          <w:lang w:val="es-ES_tradnl" w:eastAsia="es-VE"/>
        </w:rPr>
        <w:t xml:space="preserve">s como herramienta para </w:t>
      </w:r>
      <w:r w:rsidRPr="00DE4DEB">
        <w:rPr>
          <w:rFonts w:ascii="Arial" w:hAnsi="Arial" w:cs="Arial"/>
          <w:lang w:val="es-ES_tradnl"/>
        </w:rPr>
        <w:t xml:space="preserve">la supervisión y monitoreo de precios en la cadena de producción, </w:t>
      </w:r>
      <w:r>
        <w:rPr>
          <w:rFonts w:ascii="Arial" w:hAnsi="Arial" w:cs="Arial"/>
          <w:lang w:val="es-ES_tradnl"/>
        </w:rPr>
        <w:t>incluyendo la</w:t>
      </w:r>
      <w:r w:rsidRPr="00DE4DEB">
        <w:rPr>
          <w:rFonts w:ascii="Arial" w:hAnsi="Arial" w:cs="Arial"/>
          <w:lang w:val="es-ES_tradnl"/>
        </w:rPr>
        <w:t xml:space="preserve"> materia prima, fabricación, distribución, transporte y comercialización de bienes</w:t>
      </w:r>
      <w:r>
        <w:rPr>
          <w:rFonts w:ascii="Arial" w:hAnsi="Arial" w:cs="Arial"/>
          <w:lang w:val="es-ES_tradnl"/>
        </w:rPr>
        <w:t xml:space="preserve"> y la prestación de servicios,</w:t>
      </w:r>
      <w:r w:rsidRPr="00DE4DEB">
        <w:rPr>
          <w:rFonts w:ascii="Arial" w:hAnsi="Arial" w:cs="Arial"/>
          <w:lang w:val="es-ES_tradnl"/>
        </w:rPr>
        <w:t xml:space="preserve"> así como cualquier otro que determine </w:t>
      </w:r>
      <w:r>
        <w:rPr>
          <w:rFonts w:ascii="Arial" w:hAnsi="Arial" w:cs="Arial"/>
          <w:lang w:val="es-ES_tradnl"/>
        </w:rPr>
        <w:t xml:space="preserve">el órgano rector. En paralelo, el Estado se reserva </w:t>
      </w:r>
      <w:r w:rsidRPr="00F94B6F">
        <w:rPr>
          <w:rFonts w:ascii="Arial" w:eastAsia="SimSun" w:hAnsi="Arial" w:cs="Arial"/>
          <w:bCs/>
          <w:kern w:val="24"/>
          <w:lang w:val="es-ES_tradnl" w:eastAsia="es-VE"/>
        </w:rPr>
        <w:t xml:space="preserve">la competencia de establecer los precios de los bienes y servicios priorizados cuando surjan circunstancias extraordinarias que afecten gravemente el derecho de las personas a acceder </w:t>
      </w:r>
      <w:r>
        <w:rPr>
          <w:rFonts w:ascii="Arial" w:eastAsia="SimSun" w:hAnsi="Arial" w:cs="Arial"/>
          <w:bCs/>
          <w:kern w:val="24"/>
          <w:lang w:val="es-ES_tradnl" w:eastAsia="es-VE"/>
        </w:rPr>
        <w:t>a</w:t>
      </w:r>
      <w:r w:rsidRPr="00F94B6F">
        <w:rPr>
          <w:rFonts w:ascii="Arial" w:eastAsia="SimSun" w:hAnsi="Arial" w:cs="Arial"/>
          <w:bCs/>
          <w:kern w:val="24"/>
          <w:lang w:val="es-ES_tradnl" w:eastAsia="es-VE"/>
        </w:rPr>
        <w:t xml:space="preserve"> bienes y servicios</w:t>
      </w:r>
      <w:r>
        <w:rPr>
          <w:rFonts w:ascii="Arial" w:eastAsia="SimSun" w:hAnsi="Arial" w:cs="Arial"/>
          <w:bCs/>
          <w:kern w:val="24"/>
          <w:lang w:val="es-ES_tradnl" w:eastAsia="es-VE"/>
        </w:rPr>
        <w:t xml:space="preserve"> de calidad</w:t>
      </w:r>
      <w:r w:rsidRPr="00F94B6F">
        <w:rPr>
          <w:rFonts w:ascii="Arial" w:eastAsia="SimSun" w:hAnsi="Arial" w:cs="Arial"/>
          <w:bCs/>
          <w:kern w:val="24"/>
          <w:lang w:val="es-ES_tradnl" w:eastAsia="es-VE"/>
        </w:rPr>
        <w:t>.</w:t>
      </w:r>
      <w:r>
        <w:rPr>
          <w:rFonts w:ascii="Arial" w:eastAsia="SimSun" w:hAnsi="Arial" w:cs="Arial"/>
          <w:b/>
          <w:kern w:val="24"/>
          <w:lang w:val="es-ES_tradnl" w:eastAsia="es-VE"/>
        </w:rPr>
        <w:t xml:space="preserve"> </w:t>
      </w:r>
    </w:p>
    <w:p w14:paraId="375EE21E" w14:textId="77777777" w:rsidR="004B3CD6" w:rsidRDefault="004B3CD6" w:rsidP="004B3CD6">
      <w:pPr>
        <w:jc w:val="both"/>
        <w:rPr>
          <w:rFonts w:ascii="Arial" w:eastAsia="SimSun" w:hAnsi="Arial" w:cs="Arial"/>
          <w:b/>
          <w:kern w:val="24"/>
          <w:lang w:val="es-ES_tradnl" w:eastAsia="es-VE"/>
        </w:rPr>
      </w:pPr>
    </w:p>
    <w:p w14:paraId="4E155B0F" w14:textId="77777777" w:rsidR="004B3CD6" w:rsidRDefault="004B3CD6" w:rsidP="004B3CD6">
      <w:pPr>
        <w:jc w:val="both"/>
        <w:rPr>
          <w:rFonts w:ascii="Arial" w:eastAsia="Droid Sans" w:hAnsi="Arial" w:cs="Arial"/>
          <w:lang w:val="es-ES_tradnl" w:eastAsia="zh-CN" w:bidi="hi-IN"/>
        </w:rPr>
      </w:pPr>
      <w:r w:rsidRPr="00ED15BA">
        <w:rPr>
          <w:rFonts w:ascii="Arial" w:eastAsia="SimSun" w:hAnsi="Arial" w:cs="Arial"/>
          <w:bCs/>
          <w:kern w:val="24"/>
          <w:lang w:val="es-ES_tradnl" w:eastAsia="es-VE"/>
        </w:rPr>
        <w:t xml:space="preserve">El Capítulo IV desarrolla las responsabilidades por el incumplimiento de la Ley, incluyendo la tipificación de infracciones administrativas y delitos, tal como lo exige la Constitución de la República Bolivariana de Venezuela. </w:t>
      </w:r>
      <w:r>
        <w:rPr>
          <w:rFonts w:ascii="Arial" w:eastAsia="SimSun" w:hAnsi="Arial" w:cs="Arial"/>
          <w:bCs/>
          <w:kern w:val="24"/>
          <w:lang w:val="es-ES_tradnl" w:eastAsia="es-VE"/>
        </w:rPr>
        <w:t xml:space="preserve">Sobresale en este capítulo la despenalización de diversas conductas contrarias a la Ley, que pasan a ser sancionadas como infracciones administrativas. Además, se incorporan varias disposiciones para asegurar la </w:t>
      </w:r>
      <w:r w:rsidRPr="00DE4DEB">
        <w:rPr>
          <w:rFonts w:ascii="Arial" w:eastAsia="Droid Sans" w:hAnsi="Arial" w:cs="Arial"/>
          <w:lang w:val="es-ES_tradnl" w:eastAsia="zh-CN" w:bidi="hi-IN"/>
        </w:rPr>
        <w:t xml:space="preserve">proporcionalidad y </w:t>
      </w:r>
      <w:r>
        <w:rPr>
          <w:rFonts w:ascii="Arial" w:eastAsia="Droid Sans" w:hAnsi="Arial" w:cs="Arial"/>
          <w:lang w:val="es-ES_tradnl" w:eastAsia="zh-CN" w:bidi="hi-IN"/>
        </w:rPr>
        <w:t>racionalidad de las sanciones</w:t>
      </w:r>
      <w:r w:rsidRPr="00DE4DEB">
        <w:rPr>
          <w:rFonts w:ascii="Arial" w:eastAsia="Droid Sans" w:hAnsi="Arial" w:cs="Arial"/>
          <w:lang w:val="es-ES_tradnl" w:eastAsia="zh-CN" w:bidi="hi-IN"/>
        </w:rPr>
        <w:t>, considerándose a estos efectos la gravedad de la infracción, la dimensión del daño causado, los riesgos a la</w:t>
      </w:r>
      <w:r>
        <w:rPr>
          <w:rFonts w:ascii="Arial" w:eastAsia="Droid Sans" w:hAnsi="Arial" w:cs="Arial"/>
          <w:lang w:val="es-ES_tradnl" w:eastAsia="zh-CN" w:bidi="hi-IN"/>
        </w:rPr>
        <w:t xml:space="preserve"> vida,</w:t>
      </w:r>
      <w:r w:rsidRPr="00DE4DEB">
        <w:rPr>
          <w:rFonts w:ascii="Arial" w:eastAsia="Droid Sans" w:hAnsi="Arial" w:cs="Arial"/>
          <w:lang w:val="es-ES_tradnl" w:eastAsia="zh-CN" w:bidi="hi-IN"/>
        </w:rPr>
        <w:t xml:space="preserve"> salud</w:t>
      </w:r>
      <w:r>
        <w:rPr>
          <w:rFonts w:ascii="Arial" w:eastAsia="Droid Sans" w:hAnsi="Arial" w:cs="Arial"/>
          <w:lang w:val="es-ES_tradnl" w:eastAsia="zh-CN" w:bidi="hi-IN"/>
        </w:rPr>
        <w:t xml:space="preserve"> y seguridad de las personas,</w:t>
      </w:r>
      <w:r w:rsidRPr="00DE4DEB">
        <w:rPr>
          <w:rFonts w:ascii="Arial" w:eastAsia="Droid Sans" w:hAnsi="Arial" w:cs="Arial"/>
          <w:lang w:val="es-ES_tradnl" w:eastAsia="zh-CN" w:bidi="hi-IN"/>
        </w:rPr>
        <w:t xml:space="preserve"> la reincidencia y el</w:t>
      </w:r>
      <w:r>
        <w:rPr>
          <w:rFonts w:ascii="Arial" w:eastAsia="Droid Sans" w:hAnsi="Arial" w:cs="Arial"/>
          <w:lang w:val="es-ES_tradnl" w:eastAsia="zh-CN" w:bidi="hi-IN"/>
        </w:rPr>
        <w:t xml:space="preserve"> valor o </w:t>
      </w:r>
      <w:r w:rsidRPr="00DE4DEB">
        <w:rPr>
          <w:rFonts w:ascii="Arial" w:eastAsia="Droid Sans" w:hAnsi="Arial" w:cs="Arial"/>
          <w:lang w:val="es-ES_tradnl" w:eastAsia="zh-CN" w:bidi="hi-IN"/>
        </w:rPr>
        <w:t xml:space="preserve">volumen de actividades </w:t>
      </w:r>
      <w:r>
        <w:rPr>
          <w:rFonts w:ascii="Arial" w:eastAsia="Droid Sans" w:hAnsi="Arial" w:cs="Arial"/>
          <w:lang w:val="es-ES_tradnl" w:eastAsia="zh-CN" w:bidi="hi-IN"/>
        </w:rPr>
        <w:t>económicas del sujeto de aplicación.</w:t>
      </w:r>
    </w:p>
    <w:p w14:paraId="24533733" w14:textId="77777777" w:rsidR="004B3CD6" w:rsidRDefault="004B3CD6" w:rsidP="004B3CD6">
      <w:pPr>
        <w:jc w:val="both"/>
        <w:rPr>
          <w:rFonts w:ascii="Arial" w:eastAsia="Droid Sans" w:hAnsi="Arial" w:cs="Arial"/>
          <w:lang w:val="es-ES_tradnl" w:eastAsia="zh-CN" w:bidi="hi-IN"/>
        </w:rPr>
      </w:pPr>
    </w:p>
    <w:p w14:paraId="277976D2" w14:textId="77777777" w:rsidR="004B3CD6" w:rsidRDefault="004B3CD6" w:rsidP="004B3CD6">
      <w:pPr>
        <w:jc w:val="both"/>
        <w:rPr>
          <w:rFonts w:ascii="Arial" w:hAnsi="Arial" w:cs="Arial"/>
          <w:bdr w:val="none" w:sz="0" w:space="0" w:color="auto" w:frame="1"/>
          <w:lang w:val="es-ES_tradnl" w:eastAsia="es-VE"/>
        </w:rPr>
      </w:pPr>
      <w:r>
        <w:rPr>
          <w:rFonts w:ascii="Arial" w:eastAsia="Droid Sans" w:hAnsi="Arial" w:cs="Arial"/>
          <w:lang w:val="es-ES_tradnl" w:eastAsia="zh-CN" w:bidi="hi-IN"/>
        </w:rPr>
        <w:t xml:space="preserve">El Capítulo V establece el procedimiento administrativo para la determinación de las infracciones y la imposición de las sanciones correspondientes. En consonancia con el reconocimiento constitucional a los medios alternativos de resolución de conflictos, se faculta a </w:t>
      </w:r>
      <w:r>
        <w:rPr>
          <w:rFonts w:ascii="Arial" w:hAnsi="Arial" w:cs="Arial"/>
        </w:rPr>
        <w:t>l</w:t>
      </w:r>
      <w:r w:rsidRPr="00BE422F">
        <w:rPr>
          <w:rFonts w:ascii="Arial" w:hAnsi="Arial" w:cs="Arial"/>
        </w:rPr>
        <w:t>a Superintendencia Nacional de Protección de los Derechos Socioeconómicos</w:t>
      </w:r>
      <w:r>
        <w:rPr>
          <w:rFonts w:ascii="Arial" w:hAnsi="Arial" w:cs="Arial"/>
          <w:bdr w:val="none" w:sz="0" w:space="0" w:color="auto" w:frame="1"/>
          <w:lang w:val="es-ES_tradnl" w:eastAsia="es-VE"/>
        </w:rPr>
        <w:t xml:space="preserve"> para </w:t>
      </w:r>
      <w:r w:rsidRPr="00BE422F">
        <w:rPr>
          <w:rFonts w:ascii="Arial" w:hAnsi="Arial" w:cs="Arial"/>
          <w:bdr w:val="none" w:sz="0" w:space="0" w:color="auto" w:frame="1"/>
          <w:lang w:val="es-ES_tradnl" w:eastAsia="es-VE"/>
        </w:rPr>
        <w:t>practicar conciliaciones</w:t>
      </w:r>
      <w:r>
        <w:rPr>
          <w:rFonts w:ascii="Arial" w:hAnsi="Arial" w:cs="Arial"/>
          <w:bdr w:val="none" w:sz="0" w:space="0" w:color="auto" w:frame="1"/>
          <w:lang w:val="es-ES_tradnl" w:eastAsia="es-VE"/>
        </w:rPr>
        <w:t xml:space="preserve"> entre el proveedor de bienes o servicios y la persona o personas afectadas, a los fines de alcanzar acuerdo que restituyan los derechos vulnerados.</w:t>
      </w:r>
    </w:p>
    <w:p w14:paraId="79D02137" w14:textId="77777777" w:rsidR="004B3CD6" w:rsidRPr="00DE4DEB" w:rsidRDefault="004B3CD6" w:rsidP="004B3CD6">
      <w:pPr>
        <w:pStyle w:val="NormalWeb"/>
        <w:spacing w:before="200" w:beforeAutospacing="0" w:after="0" w:afterAutospacing="0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bdr w:val="none" w:sz="0" w:space="0" w:color="auto" w:frame="1"/>
          <w:lang w:val="es-ES_tradnl"/>
        </w:rPr>
        <w:t xml:space="preserve">Este proyecto de Ley derogaría el </w:t>
      </w:r>
      <w:r w:rsidRPr="00DE4DEB">
        <w:rPr>
          <w:rFonts w:ascii="Arial" w:eastAsia="Droid Sans" w:hAnsi="Arial" w:cs="Arial"/>
          <w:lang w:val="es-ES_tradnl" w:eastAsia="zh-CN" w:bidi="hi-IN"/>
        </w:rPr>
        <w:t>Decreto N° 2.092 con Rango, Valor y Fuerza de Ley Orgánica de Precios Justos, de fecha 8 de noviembre de 2015, publicado en la Gaceta Oficial de la República Bolivariana de Venezuela N° 6.202 Extraordinario</w:t>
      </w:r>
      <w:r>
        <w:rPr>
          <w:rFonts w:ascii="Arial" w:eastAsia="Droid Sans" w:hAnsi="Arial" w:cs="Arial"/>
          <w:lang w:val="es-ES_tradnl" w:eastAsia="zh-CN" w:bidi="hi-IN"/>
        </w:rPr>
        <w:t>,</w:t>
      </w:r>
      <w:r w:rsidRPr="00DE4DEB">
        <w:rPr>
          <w:rFonts w:ascii="Arial" w:eastAsia="Droid Sans" w:hAnsi="Arial" w:cs="Arial"/>
          <w:lang w:val="es-ES_tradnl" w:eastAsia="zh-CN" w:bidi="hi-IN"/>
        </w:rPr>
        <w:t xml:space="preserve"> de fecha 8 de noviembre de 2015</w:t>
      </w:r>
      <w:r>
        <w:rPr>
          <w:rFonts w:ascii="Arial" w:eastAsia="Droid Sans" w:hAnsi="Arial" w:cs="Arial"/>
          <w:lang w:val="es-ES_tradnl" w:eastAsia="zh-CN" w:bidi="hi-IN"/>
        </w:rPr>
        <w:t>.</w:t>
      </w:r>
      <w:r w:rsidRPr="00DE4DEB">
        <w:rPr>
          <w:rFonts w:ascii="Arial" w:eastAsia="Droid Sans" w:hAnsi="Arial" w:cs="Arial"/>
          <w:lang w:val="es-ES_tradnl" w:eastAsia="zh-CN" w:bidi="hi-IN"/>
        </w:rPr>
        <w:t xml:space="preserve"> </w:t>
      </w:r>
      <w:r w:rsidRPr="00DE4DEB">
        <w:rPr>
          <w:rFonts w:ascii="Arial" w:hAnsi="Arial" w:cs="Arial"/>
          <w:lang w:val="es-ES_tradnl"/>
        </w:rPr>
        <w:t xml:space="preserve"> </w:t>
      </w:r>
    </w:p>
    <w:p w14:paraId="40972D65" w14:textId="77777777" w:rsidR="00C5463A" w:rsidRPr="004B3CD6" w:rsidRDefault="00C5463A">
      <w:pPr>
        <w:rPr>
          <w:rFonts w:ascii="Arial" w:hAnsi="Arial" w:cs="Arial"/>
          <w:lang w:val="es-ES_tradnl"/>
        </w:rPr>
      </w:pPr>
    </w:p>
    <w:sectPr w:rsidR="00530C24" w:rsidRPr="004B3CD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roid Sans"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BCF"/>
    <w:rsid w:val="00025BAF"/>
    <w:rsid w:val="004B3CD6"/>
    <w:rsid w:val="007360A7"/>
    <w:rsid w:val="007E2BCF"/>
    <w:rsid w:val="00BA1067"/>
    <w:rsid w:val="00C5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E34F2"/>
  <w15:chartTrackingRefBased/>
  <w15:docId w15:val="{16CD8E98-8F25-4C9F-82C3-1B9C221AD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U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B3CD6"/>
    <w:pPr>
      <w:spacing w:before="100" w:beforeAutospacing="1" w:after="100" w:afterAutospacing="1"/>
    </w:pPr>
    <w:rPr>
      <w:lang w:eastAsia="es-V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1102</Words>
  <Characters>6064</Characters>
  <Application>Microsoft Office Word</Application>
  <DocSecurity>0</DocSecurity>
  <Lines>50</Lines>
  <Paragraphs>14</Paragraphs>
  <ScaleCrop>false</ScaleCrop>
  <Company/>
  <LinksUpToDate>false</LinksUpToDate>
  <CharactersWithSpaces>7152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EDOBULL</dc:creator>
  <cp:keywords/>
  <dc:description/>
  <cp:lastModifiedBy>edoalfonso34@gmail.com</cp:lastModifiedBy>
  <cp:revision>2</cp:revision>
  <dcterms:created xsi:type="dcterms:W3CDTF">2026-01-21T19:54:00Z</dcterms:created>
  <dcterms:modified xsi:type="dcterms:W3CDTF">2026-01-21T19:54:00Z</dcterms:modified>
</cp:coreProperties>
</file>