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4BA45705" w14:textId="77777777" w:rsidR="00522E86" w:rsidRPr="0006406C" w:rsidRDefault="00522E86" w:rsidP="00522E86">
      <w:pPr>
        <w:spacing w:after="0" w:line="240" w:lineRule="auto"/>
        <w:jc w:val="center"/>
        <w:rPr>
          <w:rFonts w:ascii="Calibri Light" w:eastAsia="Times New Roman" w:hAnsi="Calibri Light" w:cs="Calibri Light"/>
          <w:kern w:val="0"/>
          <w:lang w:val="es-ES" w:eastAsia="es-MX"/>
          <w14:ligatures w14:val="none"/>
        </w:rPr>
      </w:pPr>
      <w:r>
        <w:rPr>
          <w:rFonts w:ascii="Calibri Light" w:hAnsi="Calibri Light" w:cs="Calibri Light"/>
          <w:b/>
          <w:bCs/>
        </w:rPr>
        <w:t>DEPARTAMENTO DEL TESORO</w:t>
      </w:r>
    </w:p>
    <w:p w14:paraId="7AAB29DD" w14:textId="77777777" w:rsidR="00522E86" w:rsidRDefault="00522E86" w:rsidP="00522E86">
      <w:pPr>
        <w:pStyle w:val="p3"/>
        <w:jc w:val="center"/>
        <w:rPr>
          <w:rFonts w:ascii="Calibri Light" w:hAnsi="Calibri Light" w:cs="Calibri Light"/>
          <w:b/>
          <w:bCs/>
          <w:sz w:val="24"/>
          <w:szCs w:val="24"/>
        </w:rPr>
      </w:pPr>
      <w:r>
        <w:rPr>
          <w:rFonts w:ascii="Calibri Light" w:hAnsi="Calibri Light" w:cs="Calibri Light"/>
          <w:b/>
          <w:bCs/>
          <w:sz w:val="24"/>
          <w:szCs w:val="24"/>
        </w:rPr>
        <w:t>WASHINGTON, D.C.</w:t>
      </w:r>
    </w:p>
    <w:p w14:paraId="7EB54ADB" w14:textId="77777777" w:rsidR="00522E86" w:rsidRDefault="00522E86" w:rsidP="00522E86">
      <w:pPr>
        <w:spacing w:after="0" w:line="240" w:lineRule="auto"/>
        <w:jc w:val="center"/>
        <w:rPr>
          <w:rFonts w:ascii="Calibri Light" w:eastAsia="Times New Roman" w:hAnsi="Calibri Light" w:cs="Calibri Light"/>
          <w:b/>
          <w:bCs/>
          <w:kern w:val="0"/>
          <w:lang w:eastAsia="es-MX"/>
          <w14:ligatures w14:val="none"/>
        </w:rPr>
      </w:pPr>
    </w:p>
    <w:p w14:paraId="7B217FE9" w14:textId="388FC640" w:rsidR="00522E86" w:rsidRPr="00522E86" w:rsidRDefault="00522E86" w:rsidP="00522E86">
      <w:pPr>
        <w:spacing w:after="0" w:line="240" w:lineRule="auto"/>
        <w:jc w:val="center"/>
        <w:rPr>
          <w:rFonts w:ascii="Calibri Light" w:eastAsia="Times New Roman" w:hAnsi="Calibri Light" w:cs="Calibri Light"/>
          <w:b/>
          <w:bCs/>
          <w:kern w:val="0"/>
          <w:lang w:eastAsia="es-MX"/>
          <w14:ligatures w14:val="none"/>
        </w:rPr>
      </w:pPr>
      <w:r w:rsidRPr="00522E86">
        <w:rPr>
          <w:rFonts w:ascii="Calibri Light" w:eastAsia="Times New Roman" w:hAnsi="Calibri Light" w:cs="Calibri Light"/>
          <w:b/>
          <w:bCs/>
          <w:kern w:val="0"/>
          <w:lang w:eastAsia="es-MX"/>
          <w14:ligatures w14:val="none"/>
        </w:rPr>
        <w:t>OFICINA DE CONTROL DE ACTIVOS EXTRANJEROS</w:t>
      </w:r>
    </w:p>
    <w:p w14:paraId="424CC4F9" w14:textId="3C16546A" w:rsidR="00522E86" w:rsidRPr="00522E86" w:rsidRDefault="00522E86" w:rsidP="00522E86">
      <w:pPr>
        <w:spacing w:after="0" w:line="240" w:lineRule="auto"/>
        <w:jc w:val="center"/>
        <w:rPr>
          <w:rFonts w:ascii="Calibri Light" w:eastAsia="Times New Roman" w:hAnsi="Calibri Light" w:cs="Calibri Light"/>
          <w:b/>
          <w:bCs/>
          <w:kern w:val="0"/>
          <w:lang w:eastAsia="es-MX"/>
          <w14:ligatures w14:val="none"/>
        </w:rPr>
      </w:pPr>
      <w:r w:rsidRPr="00522E86">
        <w:rPr>
          <w:rFonts w:ascii="Calibri Light" w:eastAsia="Times New Roman" w:hAnsi="Calibri Light" w:cs="Calibri Light"/>
          <w:b/>
          <w:bCs/>
          <w:kern w:val="0"/>
          <w:lang w:eastAsia="es-MX"/>
          <w14:ligatures w14:val="none"/>
        </w:rPr>
        <w:t>Regulaciones de Sanciones a Venezuela</w:t>
      </w:r>
    </w:p>
    <w:p w14:paraId="679B235B" w14:textId="3FB142D2" w:rsidR="00522E86" w:rsidRPr="00522E86" w:rsidRDefault="00522E86" w:rsidP="00522E86">
      <w:pPr>
        <w:spacing w:after="0" w:line="240" w:lineRule="auto"/>
        <w:jc w:val="center"/>
        <w:rPr>
          <w:rFonts w:ascii="Calibri Light" w:eastAsia="Times New Roman" w:hAnsi="Calibri Light" w:cs="Calibri Light"/>
          <w:b/>
          <w:bCs/>
          <w:kern w:val="0"/>
          <w:lang w:eastAsia="es-MX"/>
          <w14:ligatures w14:val="none"/>
        </w:rPr>
      </w:pPr>
      <w:r w:rsidRPr="00522E86">
        <w:rPr>
          <w:rFonts w:ascii="Calibri Light" w:eastAsia="Times New Roman" w:hAnsi="Calibri Light" w:cs="Calibri Light"/>
          <w:b/>
          <w:bCs/>
          <w:kern w:val="0"/>
          <w:lang w:eastAsia="es-MX"/>
          <w14:ligatures w14:val="none"/>
        </w:rPr>
        <w:t>31 CFR parte 591 LICENCIA GENERAL N.° 49</w:t>
      </w:r>
    </w:p>
    <w:p w14:paraId="37198788" w14:textId="61856898" w:rsidR="00522E86" w:rsidRPr="00522E86" w:rsidRDefault="00522E86" w:rsidP="00522E86">
      <w:pPr>
        <w:spacing w:after="0" w:line="240" w:lineRule="auto"/>
        <w:jc w:val="center"/>
        <w:rPr>
          <w:rFonts w:ascii="Calibri Light" w:eastAsia="Times New Roman" w:hAnsi="Calibri Light" w:cs="Calibri Light"/>
          <w:b/>
          <w:bCs/>
          <w:kern w:val="0"/>
          <w:lang w:eastAsia="es-MX"/>
          <w14:ligatures w14:val="none"/>
        </w:rPr>
      </w:pPr>
      <w:r w:rsidRPr="00522E86">
        <w:rPr>
          <w:rFonts w:ascii="Calibri Light" w:eastAsia="Times New Roman" w:hAnsi="Calibri Light" w:cs="Calibri Light"/>
          <w:b/>
          <w:bCs/>
          <w:kern w:val="0"/>
          <w:lang w:eastAsia="es-MX"/>
          <w14:ligatures w14:val="none"/>
        </w:rPr>
        <w:t>Autorizando la negociación y la celebración de contratos contingentes para ciertas inversiones en Venezuela</w:t>
      </w:r>
    </w:p>
    <w:p w14:paraId="6C2A6B0E" w14:textId="77777777" w:rsidR="00522E86" w:rsidRDefault="00522E86" w:rsidP="00522E86">
      <w:pPr>
        <w:spacing w:after="0" w:line="240" w:lineRule="auto"/>
        <w:rPr>
          <w:rFonts w:ascii="Calibri Light" w:eastAsia="Times New Roman" w:hAnsi="Calibri Light" w:cs="Calibri Light"/>
          <w:kern w:val="0"/>
          <w:lang w:eastAsia="es-MX"/>
          <w14:ligatures w14:val="none"/>
        </w:rPr>
      </w:pPr>
    </w:p>
    <w:p w14:paraId="69714FFC" w14:textId="560A8202" w:rsidR="00522E86" w:rsidRPr="00522E86" w:rsidRDefault="00522E86" w:rsidP="00522E86">
      <w:pPr>
        <w:spacing w:after="0" w:line="240" w:lineRule="auto"/>
        <w:jc w:val="both"/>
        <w:rPr>
          <w:rFonts w:ascii="Calibri Light" w:eastAsia="Times New Roman" w:hAnsi="Calibri Light" w:cs="Calibri Light"/>
          <w:kern w:val="0"/>
          <w:lang w:eastAsia="es-MX"/>
          <w14:ligatures w14:val="none"/>
        </w:rPr>
      </w:pPr>
      <w:r w:rsidRPr="00522E86">
        <w:rPr>
          <w:rFonts w:ascii="Calibri Light" w:eastAsia="Times New Roman" w:hAnsi="Calibri Light" w:cs="Calibri Light"/>
          <w:b/>
          <w:bCs/>
          <w:kern w:val="0"/>
          <w:lang w:eastAsia="es-MX"/>
          <w14:ligatures w14:val="none"/>
        </w:rPr>
        <w:t>(a)</w:t>
      </w:r>
      <w:r w:rsidRPr="00522E86">
        <w:rPr>
          <w:rFonts w:ascii="Calibri Light" w:eastAsia="Times New Roman" w:hAnsi="Calibri Light" w:cs="Calibri Light"/>
          <w:kern w:val="0"/>
          <w:lang w:eastAsia="es-MX"/>
          <w14:ligatures w14:val="none"/>
        </w:rPr>
        <w:t xml:space="preserve"> Salvo lo dispuesto en el párrafo (b) de esta licencia general, </w:t>
      </w:r>
      <w:r w:rsidRPr="00522E86">
        <w:rPr>
          <w:rFonts w:ascii="Calibri Light" w:eastAsia="Times New Roman" w:hAnsi="Calibri Light" w:cs="Calibri Light"/>
          <w:kern w:val="0"/>
          <w:u w:val="single"/>
          <w:lang w:eastAsia="es-MX"/>
          <w14:ligatures w14:val="none"/>
        </w:rPr>
        <w:t>se autorizan</w:t>
      </w:r>
      <w:r w:rsidRPr="00522E86">
        <w:rPr>
          <w:rFonts w:ascii="Calibri Light" w:eastAsia="Times New Roman" w:hAnsi="Calibri Light" w:cs="Calibri Light"/>
          <w:kern w:val="0"/>
          <w:lang w:eastAsia="es-MX"/>
          <w14:ligatures w14:val="none"/>
        </w:rPr>
        <w:t xml:space="preserve"> todas las transacciones prohibidas por las Regulaciones de Sanciones a Venezuela, 31 CFR parte 591 (las VSR), incluidas aquellas que involucren al Gobierno de Venezuela, Petróleos de Venezuela, S.A. (PdVSA), o cualquier entidad en la que PdVSA posea, directa o indirectamente, un interés del 50 por ciento o superior, que estén relacionadas </w:t>
      </w:r>
      <w:r w:rsidRPr="00522E86">
        <w:rPr>
          <w:rFonts w:ascii="Calibri Light" w:eastAsia="Times New Roman" w:hAnsi="Calibri Light" w:cs="Calibri Light"/>
          <w:kern w:val="0"/>
          <w:u w:val="single"/>
          <w:lang w:eastAsia="es-MX"/>
          <w14:ligatures w14:val="none"/>
        </w:rPr>
        <w:t>con la negociación y la celebración de contratos contingentes para nuevas inversiones en operaciones del sector petrolero o gasífero en Venezuela</w:t>
      </w:r>
      <w:r w:rsidRPr="00522E86">
        <w:rPr>
          <w:rFonts w:ascii="Calibri Light" w:eastAsia="Times New Roman" w:hAnsi="Calibri Light" w:cs="Calibri Light"/>
          <w:kern w:val="0"/>
          <w:lang w:eastAsia="es-MX"/>
          <w14:ligatures w14:val="none"/>
        </w:rPr>
        <w:t xml:space="preserve">, siempre que el cumplimiento de cualquier contrato de ese tipo quede </w:t>
      </w:r>
      <w:r w:rsidRPr="00522E86">
        <w:rPr>
          <w:rFonts w:ascii="Calibri Light" w:eastAsia="Times New Roman" w:hAnsi="Calibri Light" w:cs="Calibri Light"/>
          <w:kern w:val="0"/>
          <w:u w:val="single"/>
          <w:lang w:eastAsia="es-MX"/>
          <w14:ligatures w14:val="none"/>
        </w:rPr>
        <w:t>expresamente condicionado a una autorización separada por parte de la Oficina de Control de Activos Extranjeros (“contratos contingentes”)</w:t>
      </w:r>
      <w:r w:rsidRPr="00522E86">
        <w:rPr>
          <w:rFonts w:ascii="Calibri Light" w:eastAsia="Times New Roman" w:hAnsi="Calibri Light" w:cs="Calibri Light"/>
          <w:kern w:val="0"/>
          <w:lang w:eastAsia="es-MX"/>
          <w14:ligatures w14:val="none"/>
        </w:rPr>
        <w:t>.</w:t>
      </w:r>
    </w:p>
    <w:p w14:paraId="1DE1A38C" w14:textId="77777777" w:rsidR="00522E86" w:rsidRDefault="00522E86" w:rsidP="00522E86">
      <w:pPr>
        <w:spacing w:after="0" w:line="240" w:lineRule="auto"/>
        <w:rPr>
          <w:rFonts w:ascii="Calibri Light" w:eastAsia="Times New Roman" w:hAnsi="Calibri Light" w:cs="Calibri Light"/>
          <w:kern w:val="0"/>
          <w:lang w:eastAsia="es-MX"/>
          <w14:ligatures w14:val="none"/>
        </w:rPr>
      </w:pPr>
    </w:p>
    <w:p w14:paraId="3B165FBF" w14:textId="7CC7F3D1" w:rsidR="00522E86" w:rsidRPr="00522E86" w:rsidRDefault="00522E86" w:rsidP="00522E86">
      <w:pPr>
        <w:spacing w:after="0" w:line="240" w:lineRule="auto"/>
        <w:jc w:val="both"/>
        <w:rPr>
          <w:rFonts w:ascii="Calibri Light" w:eastAsia="Times New Roman" w:hAnsi="Calibri Light" w:cs="Calibri Light"/>
          <w:kern w:val="0"/>
          <w:lang w:eastAsia="es-MX"/>
          <w14:ligatures w14:val="none"/>
        </w:rPr>
      </w:pPr>
      <w:r w:rsidRPr="00522E86">
        <w:rPr>
          <w:rFonts w:ascii="Calibri Light" w:eastAsia="Times New Roman" w:hAnsi="Calibri Light" w:cs="Calibri Light"/>
          <w:b/>
          <w:bCs/>
          <w:kern w:val="0"/>
          <w:lang w:eastAsia="es-MX"/>
          <w14:ligatures w14:val="none"/>
        </w:rPr>
        <w:t>Nota 1 al párrafo (a).</w:t>
      </w:r>
      <w:r w:rsidRPr="00522E86">
        <w:rPr>
          <w:rFonts w:ascii="Calibri Light" w:eastAsia="Times New Roman" w:hAnsi="Calibri Light" w:cs="Calibri Light"/>
          <w:kern w:val="0"/>
          <w:lang w:eastAsia="es-MX"/>
          <w14:ligatures w14:val="none"/>
        </w:rPr>
        <w:t xml:space="preserve"> A los efectos de esta licencia general, el término “contratos contingentes” incluye contratos ejecutorios, facturas pro forma ejecutorias, acuerdos en principio, ofertas ejecutorias susceptibles de aceptación como licitaciones o propuestas en respuesta a concursos públicos, memorandos de entendimiento vinculantes, o cualquier otro acuerdo similar.</w:t>
      </w:r>
    </w:p>
    <w:p w14:paraId="1EDDA397" w14:textId="77777777" w:rsidR="00522E86" w:rsidRDefault="00522E86" w:rsidP="00522E86">
      <w:pPr>
        <w:spacing w:after="0" w:line="240" w:lineRule="auto"/>
        <w:rPr>
          <w:rFonts w:ascii="Calibri Light" w:eastAsia="Times New Roman" w:hAnsi="Calibri Light" w:cs="Calibri Light"/>
          <w:kern w:val="0"/>
          <w:lang w:eastAsia="es-MX"/>
          <w14:ligatures w14:val="none"/>
        </w:rPr>
      </w:pPr>
    </w:p>
    <w:p w14:paraId="6463FD1F" w14:textId="744BE6AE" w:rsidR="00522E86" w:rsidRPr="00522E86" w:rsidRDefault="00522E86" w:rsidP="00522E86">
      <w:pPr>
        <w:spacing w:after="0" w:line="240" w:lineRule="auto"/>
        <w:jc w:val="both"/>
        <w:rPr>
          <w:rFonts w:ascii="Calibri Light" w:eastAsia="Times New Roman" w:hAnsi="Calibri Light" w:cs="Calibri Light"/>
          <w:kern w:val="0"/>
          <w:lang w:eastAsia="es-MX"/>
          <w14:ligatures w14:val="none"/>
        </w:rPr>
      </w:pPr>
      <w:r w:rsidRPr="00522E86">
        <w:rPr>
          <w:rFonts w:ascii="Calibri Light" w:eastAsia="Times New Roman" w:hAnsi="Calibri Light" w:cs="Calibri Light"/>
          <w:b/>
          <w:bCs/>
          <w:kern w:val="0"/>
          <w:lang w:eastAsia="es-MX"/>
          <w14:ligatures w14:val="none"/>
        </w:rPr>
        <w:t>Nota 2 al párrafo (a).</w:t>
      </w:r>
      <w:r w:rsidRPr="00522E86">
        <w:rPr>
          <w:rFonts w:ascii="Calibri Light" w:eastAsia="Times New Roman" w:hAnsi="Calibri Light" w:cs="Calibri Light"/>
          <w:kern w:val="0"/>
          <w:lang w:eastAsia="es-MX"/>
          <w14:ligatures w14:val="none"/>
        </w:rPr>
        <w:t xml:space="preserve"> El párrafo (a) autoriza la negociación y la celebración de contratos contingentes para llevar a cabo nuevas actividades de exploración, desarrollo o producción de petróleo o gas en Venezuela, ampliar operaciones existentes en Venezuela y constituir nuevas empresas conjuntas u otras entidades en Venezuela relacionadas con las actividades anteriores. Las transacciones autorizadas por el párrafo (a) también incluyen pasos preparatorios para tales actividades, como la realización de debida diligencia y evaluaciones comerciales, legales, técnicas, de seguridad y medioambientales.</w:t>
      </w:r>
    </w:p>
    <w:p w14:paraId="5F9BA26E" w14:textId="77777777" w:rsidR="00522E86" w:rsidRDefault="00522E86" w:rsidP="00522E86">
      <w:pPr>
        <w:spacing w:after="0" w:line="240" w:lineRule="auto"/>
        <w:rPr>
          <w:rFonts w:ascii="Calibri Light" w:eastAsia="Times New Roman" w:hAnsi="Calibri Light" w:cs="Calibri Light"/>
          <w:kern w:val="0"/>
          <w:lang w:eastAsia="es-MX"/>
          <w14:ligatures w14:val="none"/>
        </w:rPr>
      </w:pPr>
    </w:p>
    <w:p w14:paraId="60B78C8B" w14:textId="77777777" w:rsidR="00B01A58" w:rsidRDefault="00522E86" w:rsidP="00522E86">
      <w:pPr>
        <w:spacing w:after="0" w:line="240" w:lineRule="auto"/>
        <w:jc w:val="both"/>
        <w:rPr>
          <w:rFonts w:ascii="Calibri Light" w:eastAsia="Times New Roman" w:hAnsi="Calibri Light" w:cs="Calibri Light"/>
          <w:kern w:val="0"/>
          <w:lang w:eastAsia="es-MX"/>
          <w14:ligatures w14:val="none"/>
        </w:rPr>
      </w:pPr>
      <w:r w:rsidRPr="00522E86">
        <w:rPr>
          <w:rFonts w:ascii="Calibri Light" w:eastAsia="Times New Roman" w:hAnsi="Calibri Light" w:cs="Calibri Light"/>
          <w:b/>
          <w:bCs/>
          <w:kern w:val="0"/>
          <w:lang w:eastAsia="es-MX"/>
          <w14:ligatures w14:val="none"/>
        </w:rPr>
        <w:t>(b)</w:t>
      </w:r>
      <w:r w:rsidRPr="00522E86">
        <w:rPr>
          <w:rFonts w:ascii="Calibri Light" w:eastAsia="Times New Roman" w:hAnsi="Calibri Light" w:cs="Calibri Light"/>
          <w:kern w:val="0"/>
          <w:lang w:eastAsia="es-MX"/>
          <w14:ligatures w14:val="none"/>
        </w:rPr>
        <w:t xml:space="preserve"> Esta licencia general </w:t>
      </w:r>
      <w:r w:rsidRPr="00522E86">
        <w:rPr>
          <w:rFonts w:ascii="Calibri Light" w:eastAsia="Times New Roman" w:hAnsi="Calibri Light" w:cs="Calibri Light"/>
          <w:kern w:val="0"/>
          <w:u w:val="single"/>
          <w:lang w:eastAsia="es-MX"/>
          <w14:ligatures w14:val="none"/>
        </w:rPr>
        <w:t>no autoriza</w:t>
      </w:r>
      <w:r w:rsidRPr="00522E86">
        <w:rPr>
          <w:rFonts w:ascii="Calibri Light" w:eastAsia="Times New Roman" w:hAnsi="Calibri Light" w:cs="Calibri Light"/>
          <w:kern w:val="0"/>
          <w:lang w:eastAsia="es-MX"/>
          <w14:ligatures w14:val="none"/>
        </w:rPr>
        <w:t xml:space="preserve">: </w:t>
      </w:r>
    </w:p>
    <w:p w14:paraId="605A4C1B" w14:textId="77777777" w:rsidR="00B01A58" w:rsidRDefault="00B01A58" w:rsidP="00522E86">
      <w:pPr>
        <w:spacing w:after="0" w:line="240" w:lineRule="auto"/>
        <w:jc w:val="both"/>
        <w:rPr>
          <w:rFonts w:ascii="Calibri Light" w:eastAsia="Times New Roman" w:hAnsi="Calibri Light" w:cs="Calibri Light"/>
          <w:kern w:val="0"/>
          <w:lang w:eastAsia="es-MX"/>
          <w14:ligatures w14:val="none"/>
        </w:rPr>
      </w:pPr>
    </w:p>
    <w:p w14:paraId="5B2AE559" w14:textId="77777777" w:rsidR="00B01A58" w:rsidRDefault="00522E86" w:rsidP="00522E86">
      <w:pPr>
        <w:spacing w:after="0" w:line="240" w:lineRule="auto"/>
        <w:jc w:val="both"/>
        <w:rPr>
          <w:rFonts w:ascii="Calibri Light" w:eastAsia="Times New Roman" w:hAnsi="Calibri Light" w:cs="Calibri Light"/>
          <w:kern w:val="0"/>
          <w:lang w:eastAsia="es-MX"/>
          <w14:ligatures w14:val="none"/>
        </w:rPr>
      </w:pPr>
      <w:r w:rsidRPr="00522E86">
        <w:rPr>
          <w:rFonts w:ascii="Calibri Light" w:eastAsia="Times New Roman" w:hAnsi="Calibri Light" w:cs="Calibri Light"/>
          <w:b/>
          <w:bCs/>
          <w:kern w:val="0"/>
          <w:lang w:eastAsia="es-MX"/>
          <w14:ligatures w14:val="none"/>
        </w:rPr>
        <w:t>(1)</w:t>
      </w:r>
      <w:r w:rsidRPr="00522E86">
        <w:rPr>
          <w:rFonts w:ascii="Calibri Light" w:eastAsia="Times New Roman" w:hAnsi="Calibri Light" w:cs="Calibri Light"/>
          <w:kern w:val="0"/>
          <w:lang w:eastAsia="es-MX"/>
          <w14:ligatures w14:val="none"/>
        </w:rPr>
        <w:t xml:space="preserve"> Cualquier transacción que implique a una persona ubicada en la Federación de Rusia, la República Islámica de Irán, la República Popular Democrática de Corea, la República de Cuba, la República Popular China, o cualquier entidad que sea propiedad de, esté controlada por, o esté en empresa conjunta con dichas personas; </w:t>
      </w:r>
    </w:p>
    <w:p w14:paraId="7195453B" w14:textId="77777777" w:rsidR="00B01A58" w:rsidRDefault="00B01A58" w:rsidP="00522E86">
      <w:pPr>
        <w:spacing w:after="0" w:line="240" w:lineRule="auto"/>
        <w:jc w:val="both"/>
        <w:rPr>
          <w:rFonts w:ascii="Calibri Light" w:eastAsia="Times New Roman" w:hAnsi="Calibri Light" w:cs="Calibri Light"/>
          <w:kern w:val="0"/>
          <w:lang w:eastAsia="es-MX"/>
          <w14:ligatures w14:val="none"/>
        </w:rPr>
      </w:pPr>
    </w:p>
    <w:p w14:paraId="0C05F3B2" w14:textId="77777777" w:rsidR="00B01A58" w:rsidRDefault="00522E86" w:rsidP="00522E86">
      <w:pPr>
        <w:spacing w:after="0" w:line="240" w:lineRule="auto"/>
        <w:jc w:val="both"/>
        <w:rPr>
          <w:rFonts w:ascii="Calibri Light" w:eastAsia="Times New Roman" w:hAnsi="Calibri Light" w:cs="Calibri Light"/>
          <w:kern w:val="0"/>
          <w:lang w:eastAsia="es-MX"/>
          <w14:ligatures w14:val="none"/>
        </w:rPr>
      </w:pPr>
      <w:r w:rsidRPr="00522E86">
        <w:rPr>
          <w:rFonts w:ascii="Calibri Light" w:eastAsia="Times New Roman" w:hAnsi="Calibri Light" w:cs="Calibri Light"/>
          <w:b/>
          <w:bCs/>
          <w:kern w:val="0"/>
          <w:lang w:eastAsia="es-MX"/>
          <w14:ligatures w14:val="none"/>
        </w:rPr>
        <w:t>(2)</w:t>
      </w:r>
      <w:r w:rsidRPr="00522E86">
        <w:rPr>
          <w:rFonts w:ascii="Calibri Light" w:eastAsia="Times New Roman" w:hAnsi="Calibri Light" w:cs="Calibri Light"/>
          <w:kern w:val="0"/>
          <w:lang w:eastAsia="es-MX"/>
          <w14:ligatures w14:val="none"/>
        </w:rPr>
        <w:t xml:space="preserve"> El desbloqueo de cualquier bien bloqueado conforme a las VSR; o </w:t>
      </w:r>
    </w:p>
    <w:p w14:paraId="70881AB5" w14:textId="77777777" w:rsidR="00B01A58" w:rsidRDefault="00B01A58" w:rsidP="00522E86">
      <w:pPr>
        <w:spacing w:after="0" w:line="240" w:lineRule="auto"/>
        <w:jc w:val="both"/>
        <w:rPr>
          <w:rFonts w:ascii="Calibri Light" w:eastAsia="Times New Roman" w:hAnsi="Calibri Light" w:cs="Calibri Light"/>
          <w:kern w:val="0"/>
          <w:lang w:eastAsia="es-MX"/>
          <w14:ligatures w14:val="none"/>
        </w:rPr>
      </w:pPr>
    </w:p>
    <w:p w14:paraId="6AF28D30" w14:textId="5B6298AD" w:rsidR="00522E86" w:rsidRPr="00522E86" w:rsidRDefault="00522E86" w:rsidP="00522E86">
      <w:pPr>
        <w:spacing w:after="0" w:line="240" w:lineRule="auto"/>
        <w:jc w:val="both"/>
        <w:rPr>
          <w:rFonts w:ascii="Calibri Light" w:eastAsia="Times New Roman" w:hAnsi="Calibri Light" w:cs="Calibri Light"/>
          <w:kern w:val="0"/>
          <w:lang w:eastAsia="es-MX"/>
          <w14:ligatures w14:val="none"/>
        </w:rPr>
      </w:pPr>
      <w:r w:rsidRPr="00522E86">
        <w:rPr>
          <w:rFonts w:ascii="Calibri Light" w:eastAsia="Times New Roman" w:hAnsi="Calibri Light" w:cs="Calibri Light"/>
          <w:b/>
          <w:bCs/>
          <w:kern w:val="0"/>
          <w:lang w:eastAsia="es-MX"/>
          <w14:ligatures w14:val="none"/>
        </w:rPr>
        <w:t>(3)</w:t>
      </w:r>
      <w:r w:rsidRPr="00522E86">
        <w:rPr>
          <w:rFonts w:ascii="Calibri Light" w:eastAsia="Times New Roman" w:hAnsi="Calibri Light" w:cs="Calibri Light"/>
          <w:kern w:val="0"/>
          <w:lang w:eastAsia="es-MX"/>
          <w14:ligatures w14:val="none"/>
        </w:rPr>
        <w:t xml:space="preserve"> Cualquier transacción que implique a un buque bloqueado.</w:t>
      </w:r>
    </w:p>
    <w:p w14:paraId="761F5F19" w14:textId="77777777" w:rsidR="00522E86" w:rsidRPr="00522E86" w:rsidRDefault="00522E86" w:rsidP="00522E86">
      <w:pPr>
        <w:spacing w:after="0" w:line="240" w:lineRule="auto"/>
        <w:rPr>
          <w:rFonts w:ascii="Calibri Light" w:eastAsia="Times New Roman" w:hAnsi="Calibri Light" w:cs="Calibri Light"/>
          <w:kern w:val="0"/>
          <w:lang w:eastAsia="es-MX"/>
          <w14:ligatures w14:val="none"/>
        </w:rPr>
      </w:pPr>
      <w:r w:rsidRPr="00522E86">
        <w:rPr>
          <w:rFonts w:ascii="Calibri Light" w:eastAsia="Times New Roman" w:hAnsi="Calibri Light" w:cs="Calibri Light"/>
          <w:b/>
          <w:bCs/>
          <w:kern w:val="0"/>
          <w:lang w:eastAsia="es-MX"/>
          <w14:ligatures w14:val="none"/>
        </w:rPr>
        <w:lastRenderedPageBreak/>
        <w:t>Nota a la Licencia General N.° 49.</w:t>
      </w:r>
      <w:r w:rsidRPr="00522E86">
        <w:rPr>
          <w:rFonts w:ascii="Calibri Light" w:eastAsia="Times New Roman" w:hAnsi="Calibri Light" w:cs="Calibri Light"/>
          <w:kern w:val="0"/>
          <w:lang w:eastAsia="es-MX"/>
          <w14:ligatures w14:val="none"/>
        </w:rPr>
        <w:t xml:space="preserve"> Nada en esta licencia general exime a persona alguna del cumplimiento de los requisitos de otras agencias federales, incluida la Oficina de Industria y Seguridad del Departamento de Comercio.</w:t>
      </w:r>
    </w:p>
    <w:p w14:paraId="642AE15F" w14:textId="77777777" w:rsidR="00B01A58" w:rsidRDefault="00B01A58" w:rsidP="00522E86">
      <w:pPr>
        <w:spacing w:after="0" w:line="240" w:lineRule="auto"/>
        <w:rPr>
          <w:rFonts w:ascii="Calibri Light" w:eastAsia="Times New Roman" w:hAnsi="Calibri Light" w:cs="Calibri Light"/>
          <w:kern w:val="0"/>
          <w:lang w:eastAsia="es-MX"/>
          <w14:ligatures w14:val="none"/>
        </w:rPr>
      </w:pPr>
    </w:p>
    <w:p w14:paraId="09CAA134" w14:textId="43D1D6D1" w:rsidR="00B01A58" w:rsidRDefault="00522E86" w:rsidP="00522E86">
      <w:pPr>
        <w:spacing w:after="0" w:line="240" w:lineRule="auto"/>
        <w:rPr>
          <w:rFonts w:ascii="Calibri Light" w:eastAsia="Times New Roman" w:hAnsi="Calibri Light" w:cs="Calibri Light"/>
          <w:kern w:val="0"/>
          <w:lang w:eastAsia="es-MX"/>
          <w14:ligatures w14:val="none"/>
        </w:rPr>
      </w:pPr>
      <w:r w:rsidRPr="00522E86">
        <w:rPr>
          <w:rFonts w:ascii="Calibri Light" w:eastAsia="Times New Roman" w:hAnsi="Calibri Light" w:cs="Calibri Light"/>
          <w:kern w:val="0"/>
          <w:lang w:eastAsia="es-MX"/>
          <w14:ligatures w14:val="none"/>
        </w:rPr>
        <w:t xml:space="preserve">Bradley T. Smith </w:t>
      </w:r>
    </w:p>
    <w:p w14:paraId="6561095E" w14:textId="77777777" w:rsidR="00B01A58" w:rsidRDefault="00522E86" w:rsidP="00522E86">
      <w:pPr>
        <w:spacing w:after="0" w:line="240" w:lineRule="auto"/>
        <w:rPr>
          <w:rFonts w:ascii="Calibri Light" w:eastAsia="Times New Roman" w:hAnsi="Calibri Light" w:cs="Calibri Light"/>
          <w:kern w:val="0"/>
          <w:lang w:eastAsia="es-MX"/>
          <w14:ligatures w14:val="none"/>
        </w:rPr>
      </w:pPr>
      <w:r w:rsidRPr="00522E86">
        <w:rPr>
          <w:rFonts w:ascii="Calibri Light" w:eastAsia="Times New Roman" w:hAnsi="Calibri Light" w:cs="Calibri Light"/>
          <w:kern w:val="0"/>
          <w:lang w:eastAsia="es-MX"/>
          <w14:ligatures w14:val="none"/>
        </w:rPr>
        <w:t xml:space="preserve">Director Oficina de Control de Activos Extranjeros </w:t>
      </w:r>
    </w:p>
    <w:p w14:paraId="343D886D" w14:textId="6BFC2985" w:rsidR="00522E86" w:rsidRPr="00522E86" w:rsidRDefault="00522E86" w:rsidP="00522E86">
      <w:pPr>
        <w:spacing w:after="0" w:line="240" w:lineRule="auto"/>
        <w:rPr>
          <w:rFonts w:ascii="Calibri Light" w:eastAsia="Times New Roman" w:hAnsi="Calibri Light" w:cs="Calibri Light"/>
          <w:kern w:val="0"/>
          <w:lang w:eastAsia="es-MX"/>
          <w14:ligatures w14:val="none"/>
        </w:rPr>
      </w:pPr>
      <w:r w:rsidRPr="00522E86">
        <w:rPr>
          <w:rFonts w:ascii="Calibri Light" w:eastAsia="Times New Roman" w:hAnsi="Calibri Light" w:cs="Calibri Light"/>
          <w:kern w:val="0"/>
          <w:lang w:eastAsia="es-MX"/>
          <w14:ligatures w14:val="none"/>
        </w:rPr>
        <w:t>Fecha: 02/13/2026</w:t>
      </w:r>
    </w:p>
    <w:p w14:paraId="676FC4E7" w14:textId="77777777" w:rsidR="00522E86" w:rsidRPr="00522E86" w:rsidRDefault="00522E86" w:rsidP="00522E86">
      <w:pPr>
        <w:spacing w:after="0" w:line="240" w:lineRule="auto"/>
        <w:rPr>
          <w:rFonts w:ascii="Calibri Light" w:hAnsi="Calibri Light" w:cs="Calibri Light"/>
        </w:rPr>
      </w:pPr>
    </w:p>
    <w:sectPr w:rsidR="00522E86" w:rsidRPr="00522E86">
      <w:headerReference w:type="even" r:id="rId6"/>
      <w:headerReference w:type="default" r:id="rId7"/>
      <w:footerReference w:type="even" r:id="rId8"/>
      <w:footerReference w:type="default" r:id="rId9"/>
      <w:headerReference w:type="first" r:id="rId10"/>
      <w:footerReference w:type="first" r:id="rId11"/>
      <w:pgSz w:w="12240" w:h="15840"/>
      <w:pgMar w:top="1417" w:right="1701" w:bottom="1417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0AB04293" w14:textId="77777777" w:rsidR="006E65F1" w:rsidRDefault="006E65F1" w:rsidP="000E3B77">
      <w:pPr>
        <w:spacing w:after="0" w:line="240" w:lineRule="auto"/>
      </w:pPr>
      <w:r>
        <w:separator/>
      </w:r>
    </w:p>
  </w:endnote>
  <w:endnote w:type="continuationSeparator" w:id="0">
    <w:p w14:paraId="621E468E" w14:textId="77777777" w:rsidR="006E65F1" w:rsidRDefault="006E65F1" w:rsidP="000E3B77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panose1 w:val="020B0004020202020204"/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panose1 w:val="020B0004020202020204"/>
    <w:charset w:val="00"/>
    <w:family w:val="swiss"/>
    <w:pitch w:val="variable"/>
    <w:sig w:usb0="20000287" w:usb1="00000003" w:usb2="00000000" w:usb3="00000000" w:csb0="0000019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62ED9ED8" w14:textId="77777777" w:rsidR="000E3B77" w:rsidRDefault="000E3B77">
    <w:pPr>
      <w:pStyle w:val="Piedepgina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31C737ED" w14:textId="77777777" w:rsidR="000E3B77" w:rsidRDefault="000E3B77">
    <w:pPr>
      <w:pStyle w:val="Piedepgina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70058FC0" w14:textId="77777777" w:rsidR="000E3B77" w:rsidRDefault="000E3B77">
    <w:pPr>
      <w:pStyle w:val="Piedepgina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0CF65513" w14:textId="77777777" w:rsidR="006E65F1" w:rsidRDefault="006E65F1" w:rsidP="000E3B77">
      <w:pPr>
        <w:spacing w:after="0" w:line="240" w:lineRule="auto"/>
      </w:pPr>
      <w:r>
        <w:separator/>
      </w:r>
    </w:p>
  </w:footnote>
  <w:footnote w:type="continuationSeparator" w:id="0">
    <w:p w14:paraId="2A4FE933" w14:textId="77777777" w:rsidR="006E65F1" w:rsidRDefault="006E65F1" w:rsidP="000E3B77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2F55F92E" w14:textId="6A39E0D1" w:rsidR="000E3B77" w:rsidRDefault="006E65F1">
    <w:pPr>
      <w:pStyle w:val="Encabezado"/>
    </w:pPr>
    <w:r>
      <w:rPr>
        <w:noProof/>
      </w:rPr>
      <w:pict w14:anchorId="3722DE7E">
        <v:shapetype id="_x0000_t136" coordsize="21600,21600" o:spt="136" adj="10800" path="m@7,l@8,m@5,21600l@6,21600e">
          <v:formulas>
            <v:f eqn="sum #0 0 10800"/>
            <v:f eqn="prod #0 2 1"/>
            <v:f eqn="sum 21600 0 @1"/>
            <v:f eqn="sum 0 0 @2"/>
            <v:f eqn="sum 21600 0 @3"/>
            <v:f eqn="if @0 @3 0"/>
            <v:f eqn="if @0 21600 @1"/>
            <v:f eqn="if @0 0 @2"/>
            <v:f eqn="if @0 @4 21600"/>
            <v:f eqn="mid @5 @6"/>
            <v:f eqn="mid @8 @5"/>
            <v:f eqn="mid @7 @8"/>
            <v:f eqn="mid @6 @7"/>
            <v:f eqn="sum @6 0 @5"/>
          </v:formulas>
          <v:path textpathok="t" o:connecttype="custom" o:connectlocs="@9,0;@10,10800;@11,21600;@12,10800" o:connectangles="270,180,90,0"/>
          <v:textpath on="t" fitshape="t"/>
          <v:handles>
            <v:h position="#0,bottomRight" xrange="6629,14971"/>
          </v:handles>
          <o:lock v:ext="edit" text="t" shapetype="t"/>
        </v:shapetype>
        <v:shape id="PowerPlusWaterMarkObject6036799" o:spid="_x0000_s1027" type="#_x0000_t136" alt="" style="position:absolute;margin-left:0;margin-top:0;width:579.05pt;height:43.8pt;rotation:315;z-index:-251651072;mso-wrap-edited:f;mso-width-percent:0;mso-height-percent:0;mso-position-horizontal:center;mso-position-horizontal-relative:margin;mso-position-vertical:center;mso-position-vertical-relative:margin;mso-width-percent:0;mso-height-percent:0" o:allowincell="f" fillcolor="black [3213]" stroked="f">
          <v:fill opacity=".5"/>
          <v:textpath style="font-family:&quot;Cochin&quot;;font-size:1pt;font-weight:bold;font-style:italic" string="TRADUCCIÓN LIBRE NO OFICIAL"/>
        </v:shape>
      </w:pict>
    </w: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48986840" w14:textId="7CC28700" w:rsidR="000E3B77" w:rsidRDefault="006E65F1">
    <w:pPr>
      <w:pStyle w:val="Encabezado"/>
    </w:pPr>
    <w:r>
      <w:rPr>
        <w:noProof/>
      </w:rPr>
      <w:pict w14:anchorId="35B7C9A3">
        <v:shapetype id="_x0000_t136" coordsize="21600,21600" o:spt="136" adj="10800" path="m@7,l@8,m@5,21600l@6,21600e">
          <v:formulas>
            <v:f eqn="sum #0 0 10800"/>
            <v:f eqn="prod #0 2 1"/>
            <v:f eqn="sum 21600 0 @1"/>
            <v:f eqn="sum 0 0 @2"/>
            <v:f eqn="sum 21600 0 @3"/>
            <v:f eqn="if @0 @3 0"/>
            <v:f eqn="if @0 21600 @1"/>
            <v:f eqn="if @0 0 @2"/>
            <v:f eqn="if @0 @4 21600"/>
            <v:f eqn="mid @5 @6"/>
            <v:f eqn="mid @8 @5"/>
            <v:f eqn="mid @7 @8"/>
            <v:f eqn="mid @6 @7"/>
            <v:f eqn="sum @6 0 @5"/>
          </v:formulas>
          <v:path textpathok="t" o:connecttype="custom" o:connectlocs="@9,0;@10,10800;@11,21600;@12,10800" o:connectangles="270,180,90,0"/>
          <v:textpath on="t" fitshape="t"/>
          <v:handles>
            <v:h position="#0,bottomRight" xrange="6629,14971"/>
          </v:handles>
          <o:lock v:ext="edit" text="t" shapetype="t"/>
        </v:shapetype>
        <v:shape id="PowerPlusWaterMarkObject6036800" o:spid="_x0000_s1026" type="#_x0000_t136" alt="" style="position:absolute;margin-left:0;margin-top:0;width:579.05pt;height:43.8pt;rotation:315;z-index:-251646976;mso-wrap-edited:f;mso-width-percent:0;mso-height-percent:0;mso-position-horizontal:center;mso-position-horizontal-relative:margin;mso-position-vertical:center;mso-position-vertical-relative:margin;mso-width-percent:0;mso-height-percent:0" o:allowincell="f" fillcolor="black [3213]" stroked="f">
          <v:fill opacity=".5"/>
          <v:textpath style="font-family:&quot;Cochin&quot;;font-size:1pt;font-weight:bold;font-style:italic" string="TRADUCCIÓN LIBRE NO OFICIAL"/>
        </v:shape>
      </w:pic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5A39F082" w14:textId="69A521FA" w:rsidR="000E3B77" w:rsidRDefault="006E65F1">
    <w:pPr>
      <w:pStyle w:val="Encabezado"/>
    </w:pPr>
    <w:r>
      <w:rPr>
        <w:noProof/>
      </w:rPr>
      <w:pict w14:anchorId="1808E80F">
        <v:shapetype id="_x0000_t136" coordsize="21600,21600" o:spt="136" adj="10800" path="m@7,l@8,m@5,21600l@6,21600e">
          <v:formulas>
            <v:f eqn="sum #0 0 10800"/>
            <v:f eqn="prod #0 2 1"/>
            <v:f eqn="sum 21600 0 @1"/>
            <v:f eqn="sum 0 0 @2"/>
            <v:f eqn="sum 21600 0 @3"/>
            <v:f eqn="if @0 @3 0"/>
            <v:f eqn="if @0 21600 @1"/>
            <v:f eqn="if @0 0 @2"/>
            <v:f eqn="if @0 @4 21600"/>
            <v:f eqn="mid @5 @6"/>
            <v:f eqn="mid @8 @5"/>
            <v:f eqn="mid @7 @8"/>
            <v:f eqn="mid @6 @7"/>
            <v:f eqn="sum @6 0 @5"/>
          </v:formulas>
          <v:path textpathok="t" o:connecttype="custom" o:connectlocs="@9,0;@10,10800;@11,21600;@12,10800" o:connectangles="270,180,90,0"/>
          <v:textpath on="t" fitshape="t"/>
          <v:handles>
            <v:h position="#0,bottomRight" xrange="6629,14971"/>
          </v:handles>
          <o:lock v:ext="edit" text="t" shapetype="t"/>
        </v:shapetype>
        <v:shape id="PowerPlusWaterMarkObject6036798" o:spid="_x0000_s1025" type="#_x0000_t136" alt="" style="position:absolute;margin-left:0;margin-top:0;width:579.05pt;height:43.8pt;rotation:315;z-index:-251655168;mso-wrap-edited:f;mso-width-percent:0;mso-height-percent:0;mso-position-horizontal:center;mso-position-horizontal-relative:margin;mso-position-vertical:center;mso-position-vertical-relative:margin;mso-width-percent:0;mso-height-percent:0" o:allowincell="f" fillcolor="black [3213]" stroked="f">
          <v:fill opacity=".5"/>
          <v:textpath style="font-family:&quot;Cochin&quot;;font-size:1pt;font-weight:bold;font-style:italic" string="TRADUCCIÓN LIBRE NO OFICIAL"/>
        </v:shape>
      </w:pic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238"/>
  <w:defaultTabStop w:val="708"/>
  <w:hyphenationZone w:val="425"/>
  <w:characterSpacingControl w:val="doNotCompress"/>
  <w:hdrShapeDefaults>
    <o:shapedefaults v:ext="edit" spidmax="2050"/>
    <o:shapelayout v:ext="edit">
      <o:idmap v:ext="edit" data="1"/>
    </o:shapelayout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522E86"/>
    <w:rsid w:val="000E3B77"/>
    <w:rsid w:val="000F6665"/>
    <w:rsid w:val="00522E86"/>
    <w:rsid w:val="006E65F1"/>
    <w:rsid w:val="00B01A58"/>
    <w:rsid w:val="00FC10B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VE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,"/>
  <w:listSeparator w:val=";"/>
  <w14:docId w14:val="44B736B0"/>
  <w15:chartTrackingRefBased/>
  <w15:docId w15:val="{04ECC737-5A38-934A-A9C6-4CEC3A19B08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s-VE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Ttulo1">
    <w:name w:val="heading 1"/>
    <w:basedOn w:val="Normal"/>
    <w:next w:val="Normal"/>
    <w:link w:val="Ttulo1Car"/>
    <w:uiPriority w:val="9"/>
    <w:qFormat/>
    <w:rsid w:val="00522E86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Ttulo2">
    <w:name w:val="heading 2"/>
    <w:basedOn w:val="Normal"/>
    <w:next w:val="Normal"/>
    <w:link w:val="Ttulo2Car"/>
    <w:uiPriority w:val="9"/>
    <w:semiHidden/>
    <w:unhideWhenUsed/>
    <w:qFormat/>
    <w:rsid w:val="00522E86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Ttulo3">
    <w:name w:val="heading 3"/>
    <w:basedOn w:val="Normal"/>
    <w:next w:val="Normal"/>
    <w:link w:val="Ttulo3Car"/>
    <w:uiPriority w:val="9"/>
    <w:semiHidden/>
    <w:unhideWhenUsed/>
    <w:qFormat/>
    <w:rsid w:val="00522E86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Ttulo4">
    <w:name w:val="heading 4"/>
    <w:basedOn w:val="Normal"/>
    <w:next w:val="Normal"/>
    <w:link w:val="Ttulo4Car"/>
    <w:uiPriority w:val="9"/>
    <w:semiHidden/>
    <w:unhideWhenUsed/>
    <w:qFormat/>
    <w:rsid w:val="00522E86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Ttulo5">
    <w:name w:val="heading 5"/>
    <w:basedOn w:val="Normal"/>
    <w:next w:val="Normal"/>
    <w:link w:val="Ttulo5Car"/>
    <w:uiPriority w:val="9"/>
    <w:semiHidden/>
    <w:unhideWhenUsed/>
    <w:qFormat/>
    <w:rsid w:val="00522E86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Ttulo6">
    <w:name w:val="heading 6"/>
    <w:basedOn w:val="Normal"/>
    <w:next w:val="Normal"/>
    <w:link w:val="Ttulo6Car"/>
    <w:uiPriority w:val="9"/>
    <w:semiHidden/>
    <w:unhideWhenUsed/>
    <w:qFormat/>
    <w:rsid w:val="00522E86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Ttulo7">
    <w:name w:val="heading 7"/>
    <w:basedOn w:val="Normal"/>
    <w:next w:val="Normal"/>
    <w:link w:val="Ttulo7Car"/>
    <w:uiPriority w:val="9"/>
    <w:semiHidden/>
    <w:unhideWhenUsed/>
    <w:qFormat/>
    <w:rsid w:val="00522E86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Ttulo8">
    <w:name w:val="heading 8"/>
    <w:basedOn w:val="Normal"/>
    <w:next w:val="Normal"/>
    <w:link w:val="Ttulo8Car"/>
    <w:uiPriority w:val="9"/>
    <w:semiHidden/>
    <w:unhideWhenUsed/>
    <w:qFormat/>
    <w:rsid w:val="00522E86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Ttulo9">
    <w:name w:val="heading 9"/>
    <w:basedOn w:val="Normal"/>
    <w:next w:val="Normal"/>
    <w:link w:val="Ttulo9Car"/>
    <w:uiPriority w:val="9"/>
    <w:semiHidden/>
    <w:unhideWhenUsed/>
    <w:qFormat/>
    <w:rsid w:val="00522E86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character" w:customStyle="1" w:styleId="Ttulo1Car">
    <w:name w:val="Título 1 Car"/>
    <w:basedOn w:val="Fuentedeprrafopredeter"/>
    <w:link w:val="Ttulo1"/>
    <w:uiPriority w:val="9"/>
    <w:rsid w:val="00522E86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Ttulo2Car">
    <w:name w:val="Título 2 Car"/>
    <w:basedOn w:val="Fuentedeprrafopredeter"/>
    <w:link w:val="Ttulo2"/>
    <w:uiPriority w:val="9"/>
    <w:semiHidden/>
    <w:rsid w:val="00522E86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Ttulo3Car">
    <w:name w:val="Título 3 Car"/>
    <w:basedOn w:val="Fuentedeprrafopredeter"/>
    <w:link w:val="Ttulo3"/>
    <w:uiPriority w:val="9"/>
    <w:semiHidden/>
    <w:rsid w:val="00522E86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Ttulo4Car">
    <w:name w:val="Título 4 Car"/>
    <w:basedOn w:val="Fuentedeprrafopredeter"/>
    <w:link w:val="Ttulo4"/>
    <w:uiPriority w:val="9"/>
    <w:semiHidden/>
    <w:rsid w:val="00522E86"/>
    <w:rPr>
      <w:rFonts w:eastAsiaTheme="majorEastAsia" w:cstheme="majorBidi"/>
      <w:i/>
      <w:iCs/>
      <w:color w:val="0F4761" w:themeColor="accent1" w:themeShade="BF"/>
    </w:rPr>
  </w:style>
  <w:style w:type="character" w:customStyle="1" w:styleId="Ttulo5Car">
    <w:name w:val="Título 5 Car"/>
    <w:basedOn w:val="Fuentedeprrafopredeter"/>
    <w:link w:val="Ttulo5"/>
    <w:uiPriority w:val="9"/>
    <w:semiHidden/>
    <w:rsid w:val="00522E86"/>
    <w:rPr>
      <w:rFonts w:eastAsiaTheme="majorEastAsia" w:cstheme="majorBidi"/>
      <w:color w:val="0F4761" w:themeColor="accent1" w:themeShade="BF"/>
    </w:rPr>
  </w:style>
  <w:style w:type="character" w:customStyle="1" w:styleId="Ttulo6Car">
    <w:name w:val="Título 6 Car"/>
    <w:basedOn w:val="Fuentedeprrafopredeter"/>
    <w:link w:val="Ttulo6"/>
    <w:uiPriority w:val="9"/>
    <w:semiHidden/>
    <w:rsid w:val="00522E86"/>
    <w:rPr>
      <w:rFonts w:eastAsiaTheme="majorEastAsia" w:cstheme="majorBidi"/>
      <w:i/>
      <w:iCs/>
      <w:color w:val="595959" w:themeColor="text1" w:themeTint="A6"/>
    </w:rPr>
  </w:style>
  <w:style w:type="character" w:customStyle="1" w:styleId="Ttulo7Car">
    <w:name w:val="Título 7 Car"/>
    <w:basedOn w:val="Fuentedeprrafopredeter"/>
    <w:link w:val="Ttulo7"/>
    <w:uiPriority w:val="9"/>
    <w:semiHidden/>
    <w:rsid w:val="00522E86"/>
    <w:rPr>
      <w:rFonts w:eastAsiaTheme="majorEastAsia" w:cstheme="majorBidi"/>
      <w:color w:val="595959" w:themeColor="text1" w:themeTint="A6"/>
    </w:rPr>
  </w:style>
  <w:style w:type="character" w:customStyle="1" w:styleId="Ttulo8Car">
    <w:name w:val="Título 8 Car"/>
    <w:basedOn w:val="Fuentedeprrafopredeter"/>
    <w:link w:val="Ttulo8"/>
    <w:uiPriority w:val="9"/>
    <w:semiHidden/>
    <w:rsid w:val="00522E86"/>
    <w:rPr>
      <w:rFonts w:eastAsiaTheme="majorEastAsia" w:cstheme="majorBidi"/>
      <w:i/>
      <w:iCs/>
      <w:color w:val="272727" w:themeColor="text1" w:themeTint="D8"/>
    </w:rPr>
  </w:style>
  <w:style w:type="character" w:customStyle="1" w:styleId="Ttulo9Car">
    <w:name w:val="Título 9 Car"/>
    <w:basedOn w:val="Fuentedeprrafopredeter"/>
    <w:link w:val="Ttulo9"/>
    <w:uiPriority w:val="9"/>
    <w:semiHidden/>
    <w:rsid w:val="00522E86"/>
    <w:rPr>
      <w:rFonts w:eastAsiaTheme="majorEastAsia" w:cstheme="majorBidi"/>
      <w:color w:val="272727" w:themeColor="text1" w:themeTint="D8"/>
    </w:rPr>
  </w:style>
  <w:style w:type="paragraph" w:styleId="Ttulo">
    <w:name w:val="Title"/>
    <w:basedOn w:val="Normal"/>
    <w:next w:val="Normal"/>
    <w:link w:val="TtuloCar"/>
    <w:uiPriority w:val="10"/>
    <w:qFormat/>
    <w:rsid w:val="00522E86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tuloCar">
    <w:name w:val="Título Car"/>
    <w:basedOn w:val="Fuentedeprrafopredeter"/>
    <w:link w:val="Ttulo"/>
    <w:uiPriority w:val="10"/>
    <w:rsid w:val="00522E86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tulo">
    <w:name w:val="Subtitle"/>
    <w:basedOn w:val="Normal"/>
    <w:next w:val="Normal"/>
    <w:link w:val="SubttuloCar"/>
    <w:uiPriority w:val="11"/>
    <w:qFormat/>
    <w:rsid w:val="00522E86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tuloCar">
    <w:name w:val="Subtítulo Car"/>
    <w:basedOn w:val="Fuentedeprrafopredeter"/>
    <w:link w:val="Subttulo"/>
    <w:uiPriority w:val="11"/>
    <w:rsid w:val="00522E86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Cita">
    <w:name w:val="Quote"/>
    <w:basedOn w:val="Normal"/>
    <w:next w:val="Normal"/>
    <w:link w:val="CitaCar"/>
    <w:uiPriority w:val="29"/>
    <w:qFormat/>
    <w:rsid w:val="00522E86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CitaCar">
    <w:name w:val="Cita Car"/>
    <w:basedOn w:val="Fuentedeprrafopredeter"/>
    <w:link w:val="Cita"/>
    <w:uiPriority w:val="29"/>
    <w:rsid w:val="00522E86"/>
    <w:rPr>
      <w:i/>
      <w:iCs/>
      <w:color w:val="404040" w:themeColor="text1" w:themeTint="BF"/>
    </w:rPr>
  </w:style>
  <w:style w:type="paragraph" w:styleId="Prrafodelista">
    <w:name w:val="List Paragraph"/>
    <w:basedOn w:val="Normal"/>
    <w:uiPriority w:val="34"/>
    <w:qFormat/>
    <w:rsid w:val="00522E86"/>
    <w:pPr>
      <w:ind w:left="720"/>
      <w:contextualSpacing/>
    </w:pPr>
  </w:style>
  <w:style w:type="character" w:styleId="nfasisintenso">
    <w:name w:val="Intense Emphasis"/>
    <w:basedOn w:val="Fuentedeprrafopredeter"/>
    <w:uiPriority w:val="21"/>
    <w:qFormat/>
    <w:rsid w:val="00522E86"/>
    <w:rPr>
      <w:i/>
      <w:iCs/>
      <w:color w:val="0F4761" w:themeColor="accent1" w:themeShade="BF"/>
    </w:rPr>
  </w:style>
  <w:style w:type="paragraph" w:styleId="Citadestacada">
    <w:name w:val="Intense Quote"/>
    <w:basedOn w:val="Normal"/>
    <w:next w:val="Normal"/>
    <w:link w:val="CitadestacadaCar"/>
    <w:uiPriority w:val="30"/>
    <w:qFormat/>
    <w:rsid w:val="00522E86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CitadestacadaCar">
    <w:name w:val="Cita destacada Car"/>
    <w:basedOn w:val="Fuentedeprrafopredeter"/>
    <w:link w:val="Citadestacada"/>
    <w:uiPriority w:val="30"/>
    <w:rsid w:val="00522E86"/>
    <w:rPr>
      <w:i/>
      <w:iCs/>
      <w:color w:val="0F4761" w:themeColor="accent1" w:themeShade="BF"/>
    </w:rPr>
  </w:style>
  <w:style w:type="character" w:styleId="Referenciaintensa">
    <w:name w:val="Intense Reference"/>
    <w:basedOn w:val="Fuentedeprrafopredeter"/>
    <w:uiPriority w:val="32"/>
    <w:qFormat/>
    <w:rsid w:val="00522E86"/>
    <w:rPr>
      <w:b/>
      <w:bCs/>
      <w:smallCaps/>
      <w:color w:val="0F4761" w:themeColor="accent1" w:themeShade="BF"/>
      <w:spacing w:val="5"/>
    </w:rPr>
  </w:style>
  <w:style w:type="paragraph" w:styleId="NormalWeb">
    <w:name w:val="Normal (Web)"/>
    <w:basedOn w:val="Normal"/>
    <w:uiPriority w:val="99"/>
    <w:semiHidden/>
    <w:unhideWhenUsed/>
    <w:rsid w:val="00522E86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kern w:val="0"/>
      <w:lang w:eastAsia="es-MX"/>
      <w14:ligatures w14:val="none"/>
    </w:rPr>
  </w:style>
  <w:style w:type="paragraph" w:customStyle="1" w:styleId="p3">
    <w:name w:val="p3"/>
    <w:basedOn w:val="Normal"/>
    <w:rsid w:val="00522E86"/>
    <w:pPr>
      <w:spacing w:after="0" w:line="240" w:lineRule="auto"/>
    </w:pPr>
    <w:rPr>
      <w:rFonts w:ascii="Times New Roman" w:eastAsia="Times New Roman" w:hAnsi="Times New Roman" w:cs="Times New Roman"/>
      <w:color w:val="000000"/>
      <w:kern w:val="0"/>
      <w:sz w:val="18"/>
      <w:szCs w:val="18"/>
      <w:lang w:eastAsia="es-MX"/>
      <w14:ligatures w14:val="none"/>
    </w:rPr>
  </w:style>
  <w:style w:type="paragraph" w:styleId="Encabezado">
    <w:name w:val="header"/>
    <w:basedOn w:val="Normal"/>
    <w:link w:val="EncabezadoCar"/>
    <w:uiPriority w:val="99"/>
    <w:unhideWhenUsed/>
    <w:rsid w:val="000E3B77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EncabezadoCar">
    <w:name w:val="Encabezado Car"/>
    <w:basedOn w:val="Fuentedeprrafopredeter"/>
    <w:link w:val="Encabezado"/>
    <w:uiPriority w:val="99"/>
    <w:rsid w:val="000E3B77"/>
  </w:style>
  <w:style w:type="paragraph" w:styleId="Piedepgina">
    <w:name w:val="footer"/>
    <w:basedOn w:val="Normal"/>
    <w:link w:val="PiedepginaCar"/>
    <w:uiPriority w:val="99"/>
    <w:unhideWhenUsed/>
    <w:rsid w:val="000E3B77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PiedepginaCar">
    <w:name w:val="Pie de página Car"/>
    <w:basedOn w:val="Fuentedeprrafopredeter"/>
    <w:link w:val="Piedepgina"/>
    <w:uiPriority w:val="99"/>
    <w:rsid w:val="000E3B77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13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header" Target="header2.xml"/><Relationship Id="rId12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11" Type="http://schemas.openxmlformats.org/officeDocument/2006/relationships/footer" Target="footer3.xml"/><Relationship Id="rId5" Type="http://schemas.openxmlformats.org/officeDocument/2006/relationships/endnotes" Target="endnotes.xml"/><Relationship Id="rId10" Type="http://schemas.openxmlformats.org/officeDocument/2006/relationships/header" Target="header3.xml"/><Relationship Id="rId4" Type="http://schemas.openxmlformats.org/officeDocument/2006/relationships/footnotes" Target="footnotes.xml"/><Relationship Id="rId9" Type="http://schemas.openxmlformats.org/officeDocument/2006/relationships/footer" Target="footer2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  <a:ln w="2540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7</TotalTime>
  <Pages>2</Pages>
  <Words>437</Words>
  <Characters>2406</Characters>
  <Application>Microsoft Office Word</Application>
  <DocSecurity>0</DocSecurity>
  <Lines>20</Lines>
  <Paragraphs>5</Paragraphs>
  <ScaleCrop>false</ScaleCrop>
  <Company/>
  <LinksUpToDate>false</LinksUpToDate>
  <CharactersWithSpaces>2838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ricardo carbonell</dc:creator>
  <cp:keywords/>
  <dc:description/>
  <cp:lastModifiedBy>ricardo carbonell</cp:lastModifiedBy>
  <cp:revision>4</cp:revision>
  <dcterms:created xsi:type="dcterms:W3CDTF">2026-02-13T16:09:00Z</dcterms:created>
  <dcterms:modified xsi:type="dcterms:W3CDTF">2026-02-13T16:17:00Z</dcterms:modified>
</cp:coreProperties>
</file>