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spacing w:before="73"/>
        <w:ind w:left="2319" w:firstLine="676"/>
      </w:pPr>
      <w:r>
        <w:rPr/>
        <w:t>PROYECTO LEY DE AMNISTÍA PARA</w:t>
      </w:r>
      <w:r>
        <w:rPr>
          <w:spacing w:val="-15"/>
        </w:rPr>
        <w:t> </w:t>
      </w:r>
      <w:r>
        <w:rPr/>
        <w:t>LA</w:t>
      </w:r>
      <w:r>
        <w:rPr>
          <w:spacing w:val="-15"/>
        </w:rPr>
        <w:t> </w:t>
      </w:r>
      <w:r>
        <w:rPr/>
        <w:t>CONVIVENCIA</w:t>
      </w:r>
      <w:r>
        <w:rPr>
          <w:spacing w:val="-15"/>
        </w:rPr>
        <w:t> </w:t>
      </w:r>
      <w:r>
        <w:rPr/>
        <w:t>DEMOCRÁTICA</w:t>
      </w:r>
    </w:p>
    <w:p>
      <w:pPr>
        <w:pStyle w:val="BodyText"/>
        <w:ind w:left="0"/>
        <w:jc w:val="left"/>
        <w:rPr>
          <w:rFonts w:ascii="Arial"/>
          <w:b/>
        </w:rPr>
      </w:pPr>
    </w:p>
    <w:p>
      <w:pPr>
        <w:spacing w:before="0"/>
        <w:ind w:left="0" w:right="8" w:firstLine="0"/>
        <w:jc w:val="center"/>
        <w:rPr>
          <w:rFonts w:ascii="Arial" w:hAnsi="Arial"/>
          <w:b/>
          <w:sz w:val="28"/>
        </w:rPr>
      </w:pPr>
      <w:r>
        <w:rPr>
          <w:rFonts w:ascii="Arial" w:hAnsi="Arial"/>
          <w:b/>
          <w:sz w:val="28"/>
        </w:rPr>
        <w:t>EXPOSICIÓN</w:t>
      </w:r>
      <w:r>
        <w:rPr>
          <w:rFonts w:ascii="Arial" w:hAnsi="Arial"/>
          <w:b/>
          <w:spacing w:val="-12"/>
          <w:sz w:val="28"/>
        </w:rPr>
        <w:t> </w:t>
      </w:r>
      <w:r>
        <w:rPr>
          <w:rFonts w:ascii="Arial" w:hAnsi="Arial"/>
          <w:b/>
          <w:sz w:val="28"/>
        </w:rPr>
        <w:t>DE</w:t>
      </w:r>
      <w:r>
        <w:rPr>
          <w:rFonts w:ascii="Arial" w:hAnsi="Arial"/>
          <w:b/>
          <w:spacing w:val="-9"/>
          <w:sz w:val="28"/>
        </w:rPr>
        <w:t> </w:t>
      </w:r>
      <w:r>
        <w:rPr>
          <w:rFonts w:ascii="Arial" w:hAnsi="Arial"/>
          <w:b/>
          <w:spacing w:val="-2"/>
          <w:sz w:val="28"/>
        </w:rPr>
        <w:t>MOTIVOS</w:t>
      </w:r>
    </w:p>
    <w:p>
      <w:pPr>
        <w:pStyle w:val="BodyText"/>
        <w:spacing w:before="4"/>
        <w:ind w:left="0"/>
        <w:jc w:val="left"/>
        <w:rPr>
          <w:rFonts w:ascii="Arial"/>
          <w:b/>
        </w:rPr>
      </w:pPr>
    </w:p>
    <w:p>
      <w:pPr>
        <w:pStyle w:val="BodyText"/>
        <w:ind w:right="360"/>
      </w:pPr>
      <w:r>
        <w:rPr/>
        <w:t>El presente proyecto de Ley de Amnistía para la Convivencia Democrática surge de la necesidad imperante de ofrecer una oportunidad para vivir en paz y en tranquilidad en Venezuela. La confrontación política desde el extremismo ha dejado heridas profundas en la sociedad venezolana y es deber del Poder Legislativo, en uso de su competencia constitucional (Artículo 187, numeral 5), dictar medidas que sirvan para reparar dichas </w:t>
      </w:r>
      <w:r>
        <w:rPr>
          <w:spacing w:val="-2"/>
        </w:rPr>
        <w:t>heridas.</w:t>
      </w:r>
    </w:p>
    <w:p>
      <w:pPr>
        <w:pStyle w:val="BodyText"/>
        <w:spacing w:before="3"/>
        <w:ind w:left="0"/>
        <w:jc w:val="left"/>
      </w:pPr>
    </w:p>
    <w:p>
      <w:pPr>
        <w:pStyle w:val="BodyText"/>
        <w:ind w:right="362"/>
      </w:pPr>
      <w:r>
        <w:rPr/>
        <w:t>La amnistía general propuesta busca la convivencia y la paz entre los venezolanos y las venezolanas, permitiendo la coexistencia desde la diversidad y la pluralidad, siempre con respeto a la ley y a la justicia. Ello mediante la consolidación de un marco integral de amnistía que detalla de manera exhaustiva los hechos y delitos cubiertos y los que según la Constitución deben ser excluidos.</w:t>
      </w:r>
    </w:p>
    <w:p>
      <w:pPr>
        <w:pStyle w:val="BodyText"/>
        <w:spacing w:before="2"/>
        <w:ind w:left="0"/>
        <w:jc w:val="left"/>
      </w:pPr>
    </w:p>
    <w:p>
      <w:pPr>
        <w:pStyle w:val="BodyText"/>
        <w:ind w:right="358"/>
      </w:pPr>
      <w:r>
        <w:rPr/>
        <w:t>Bajo</w:t>
      </w:r>
      <w:r>
        <w:rPr>
          <w:spacing w:val="-5"/>
        </w:rPr>
        <w:t> </w:t>
      </w:r>
      <w:r>
        <w:rPr/>
        <w:t>ese</w:t>
      </w:r>
      <w:r>
        <w:rPr>
          <w:spacing w:val="-6"/>
        </w:rPr>
        <w:t> </w:t>
      </w:r>
      <w:r>
        <w:rPr/>
        <w:t>mismo</w:t>
      </w:r>
      <w:r>
        <w:rPr>
          <w:spacing w:val="-6"/>
        </w:rPr>
        <w:t> </w:t>
      </w:r>
      <w:r>
        <w:rPr/>
        <w:t>espíritu,</w:t>
      </w:r>
      <w:r>
        <w:rPr>
          <w:spacing w:val="-2"/>
        </w:rPr>
        <w:t> </w:t>
      </w:r>
      <w:r>
        <w:rPr/>
        <w:t>establecido</w:t>
      </w:r>
      <w:r>
        <w:rPr>
          <w:spacing w:val="-6"/>
        </w:rPr>
        <w:t> </w:t>
      </w:r>
      <w:r>
        <w:rPr/>
        <w:t>en</w:t>
      </w:r>
      <w:r>
        <w:rPr>
          <w:spacing w:val="-6"/>
        </w:rPr>
        <w:t> </w:t>
      </w:r>
      <w:r>
        <w:rPr/>
        <w:t>su</w:t>
      </w:r>
      <w:r>
        <w:rPr>
          <w:spacing w:val="-4"/>
        </w:rPr>
        <w:t> </w:t>
      </w:r>
      <w:r>
        <w:rPr/>
        <w:t>artículo</w:t>
      </w:r>
      <w:r>
        <w:rPr>
          <w:spacing w:val="-6"/>
        </w:rPr>
        <w:t> </w:t>
      </w:r>
      <w:r>
        <w:rPr/>
        <w:t>2,</w:t>
      </w:r>
      <w:r>
        <w:rPr>
          <w:spacing w:val="-1"/>
        </w:rPr>
        <w:t> </w:t>
      </w:r>
      <w:r>
        <w:rPr/>
        <w:t>el</w:t>
      </w:r>
      <w:r>
        <w:rPr>
          <w:spacing w:val="-5"/>
        </w:rPr>
        <w:t> </w:t>
      </w:r>
      <w:r>
        <w:rPr/>
        <w:t>proyecto</w:t>
      </w:r>
      <w:r>
        <w:rPr>
          <w:spacing w:val="-7"/>
        </w:rPr>
        <w:t> </w:t>
      </w:r>
      <w:r>
        <w:rPr/>
        <w:t>de</w:t>
      </w:r>
      <w:r>
        <w:rPr>
          <w:spacing w:val="-5"/>
        </w:rPr>
        <w:t> </w:t>
      </w:r>
      <w:r>
        <w:rPr/>
        <w:t>Ley</w:t>
      </w:r>
      <w:r>
        <w:rPr>
          <w:spacing w:val="-10"/>
        </w:rPr>
        <w:t> </w:t>
      </w:r>
      <w:r>
        <w:rPr/>
        <w:t>de Amnistía, reafirma los principios del funcionamiento de un Estado Democrático y Social de Derecho y de Justicia, que establece valores rectores como la vida, la libertad, la justicia, la igualdad, la solidaridad, la democracia,</w:t>
      </w:r>
      <w:r>
        <w:rPr>
          <w:spacing w:val="-2"/>
        </w:rPr>
        <w:t> </w:t>
      </w:r>
      <w:r>
        <w:rPr/>
        <w:t>la responsabilidad social y,</w:t>
      </w:r>
      <w:r>
        <w:rPr>
          <w:spacing w:val="-2"/>
        </w:rPr>
        <w:t> </w:t>
      </w:r>
      <w:r>
        <w:rPr/>
        <w:t>en general, la preeminencia</w:t>
      </w:r>
      <w:r>
        <w:rPr>
          <w:spacing w:val="-2"/>
        </w:rPr>
        <w:t> </w:t>
      </w:r>
      <w:r>
        <w:rPr/>
        <w:t>de</w:t>
      </w:r>
      <w:r>
        <w:rPr>
          <w:spacing w:val="-2"/>
        </w:rPr>
        <w:t> </w:t>
      </w:r>
      <w:r>
        <w:rPr/>
        <w:t>los derechos humanos, la ética y el pluralismo político.</w:t>
      </w:r>
    </w:p>
    <w:p>
      <w:pPr>
        <w:pStyle w:val="BodyText"/>
        <w:spacing w:before="320"/>
        <w:ind w:right="359"/>
      </w:pPr>
      <w:r>
        <w:rPr/>
        <w:t>Se reconoce la importancia de no imponer la venganza, la revancha ni el odio,</w:t>
      </w:r>
      <w:r>
        <w:rPr>
          <w:spacing w:val="-19"/>
        </w:rPr>
        <w:t> </w:t>
      </w:r>
      <w:r>
        <w:rPr/>
        <w:t>sino</w:t>
      </w:r>
      <w:r>
        <w:rPr>
          <w:spacing w:val="-16"/>
        </w:rPr>
        <w:t> </w:t>
      </w:r>
      <w:r>
        <w:rPr/>
        <w:t>de</w:t>
      </w:r>
      <w:r>
        <w:rPr>
          <w:spacing w:val="-16"/>
        </w:rPr>
        <w:t> </w:t>
      </w:r>
      <w:r>
        <w:rPr/>
        <w:t>abrir</w:t>
      </w:r>
      <w:r>
        <w:rPr>
          <w:spacing w:val="-16"/>
        </w:rPr>
        <w:t> </w:t>
      </w:r>
      <w:r>
        <w:rPr/>
        <w:t>un</w:t>
      </w:r>
      <w:r>
        <w:rPr>
          <w:spacing w:val="-17"/>
        </w:rPr>
        <w:t> </w:t>
      </w:r>
      <w:r>
        <w:rPr/>
        <w:t>camino</w:t>
      </w:r>
      <w:r>
        <w:rPr>
          <w:spacing w:val="-20"/>
        </w:rPr>
        <w:t> </w:t>
      </w:r>
      <w:r>
        <w:rPr/>
        <w:t>hacia</w:t>
      </w:r>
      <w:r>
        <w:rPr>
          <w:spacing w:val="-16"/>
        </w:rPr>
        <w:t> </w:t>
      </w:r>
      <w:r>
        <w:rPr/>
        <w:t>la</w:t>
      </w:r>
      <w:r>
        <w:rPr>
          <w:spacing w:val="-16"/>
        </w:rPr>
        <w:t> </w:t>
      </w:r>
      <w:r>
        <w:rPr/>
        <w:t>reconciliación.</w:t>
      </w:r>
      <w:r>
        <w:rPr>
          <w:spacing w:val="-20"/>
        </w:rPr>
        <w:t> </w:t>
      </w:r>
      <w:r>
        <w:rPr/>
        <w:t>No</w:t>
      </w:r>
      <w:r>
        <w:rPr>
          <w:spacing w:val="-19"/>
        </w:rPr>
        <w:t> </w:t>
      </w:r>
      <w:r>
        <w:rPr/>
        <w:t>obstante,</w:t>
      </w:r>
      <w:r>
        <w:rPr>
          <w:spacing w:val="-16"/>
        </w:rPr>
        <w:t> </w:t>
      </w:r>
      <w:r>
        <w:rPr/>
        <w:t>en</w:t>
      </w:r>
      <w:r>
        <w:rPr>
          <w:spacing w:val="-16"/>
        </w:rPr>
        <w:t> </w:t>
      </w:r>
      <w:r>
        <w:rPr/>
        <w:t>estricto acatamiento del mandato constitucional (artículo 29) y los compromisos internacionales de la República, este proyecto de Ley establece salvaguardas claras. Quedan excluidos de sus beneficios aquellos delitos que, por su naturaleza, comprometen la ética y la dignidad humana, tales como</w:t>
      </w:r>
      <w:r>
        <w:rPr>
          <w:spacing w:val="-20"/>
        </w:rPr>
        <w:t> </w:t>
      </w:r>
      <w:r>
        <w:rPr/>
        <w:t>las</w:t>
      </w:r>
      <w:r>
        <w:rPr>
          <w:spacing w:val="-19"/>
        </w:rPr>
        <w:t> </w:t>
      </w:r>
      <w:r>
        <w:rPr/>
        <w:t>violaciones</w:t>
      </w:r>
      <w:r>
        <w:rPr>
          <w:spacing w:val="-16"/>
        </w:rPr>
        <w:t> </w:t>
      </w:r>
      <w:r>
        <w:rPr/>
        <w:t>graves</w:t>
      </w:r>
      <w:r>
        <w:rPr>
          <w:spacing w:val="-15"/>
        </w:rPr>
        <w:t> </w:t>
      </w:r>
      <w:r>
        <w:rPr/>
        <w:t>de</w:t>
      </w:r>
      <w:r>
        <w:rPr>
          <w:spacing w:val="-17"/>
        </w:rPr>
        <w:t> </w:t>
      </w:r>
      <w:r>
        <w:rPr/>
        <w:t>los</w:t>
      </w:r>
      <w:r>
        <w:rPr>
          <w:spacing w:val="-16"/>
        </w:rPr>
        <w:t> </w:t>
      </w:r>
      <w:r>
        <w:rPr/>
        <w:t>derechos</w:t>
      </w:r>
      <w:r>
        <w:rPr>
          <w:spacing w:val="-15"/>
        </w:rPr>
        <w:t> </w:t>
      </w:r>
      <w:r>
        <w:rPr/>
        <w:t>humanos,</w:t>
      </w:r>
      <w:r>
        <w:rPr>
          <w:spacing w:val="-20"/>
        </w:rPr>
        <w:t> </w:t>
      </w:r>
      <w:r>
        <w:rPr/>
        <w:t>los</w:t>
      </w:r>
      <w:r>
        <w:rPr>
          <w:spacing w:val="-19"/>
        </w:rPr>
        <w:t> </w:t>
      </w:r>
      <w:r>
        <w:rPr/>
        <w:t>crímenes</w:t>
      </w:r>
      <w:r>
        <w:rPr>
          <w:spacing w:val="-15"/>
        </w:rPr>
        <w:t> </w:t>
      </w:r>
      <w:r>
        <w:rPr/>
        <w:t>de</w:t>
      </w:r>
      <w:r>
        <w:rPr>
          <w:spacing w:val="-20"/>
        </w:rPr>
        <w:t> </w:t>
      </w:r>
      <w:r>
        <w:rPr/>
        <w:t>lesa humanidad,</w:t>
      </w:r>
      <w:r>
        <w:rPr>
          <w:spacing w:val="-13"/>
        </w:rPr>
        <w:t> </w:t>
      </w:r>
      <w:r>
        <w:rPr/>
        <w:t>los</w:t>
      </w:r>
      <w:r>
        <w:rPr>
          <w:spacing w:val="-13"/>
        </w:rPr>
        <w:t> </w:t>
      </w:r>
      <w:r>
        <w:rPr/>
        <w:t>crímenes</w:t>
      </w:r>
      <w:r>
        <w:rPr>
          <w:spacing w:val="-12"/>
        </w:rPr>
        <w:t> </w:t>
      </w:r>
      <w:r>
        <w:rPr/>
        <w:t>de</w:t>
      </w:r>
      <w:r>
        <w:rPr>
          <w:spacing w:val="-13"/>
        </w:rPr>
        <w:t> </w:t>
      </w:r>
      <w:r>
        <w:rPr/>
        <w:t>guerra,</w:t>
      </w:r>
      <w:r>
        <w:rPr>
          <w:spacing w:val="-13"/>
        </w:rPr>
        <w:t> </w:t>
      </w:r>
      <w:r>
        <w:rPr/>
        <w:t>el</w:t>
      </w:r>
      <w:r>
        <w:rPr>
          <w:spacing w:val="-7"/>
        </w:rPr>
        <w:t> </w:t>
      </w:r>
      <w:r>
        <w:rPr/>
        <w:t>homicidio</w:t>
      </w:r>
      <w:r>
        <w:rPr>
          <w:spacing w:val="-13"/>
        </w:rPr>
        <w:t> </w:t>
      </w:r>
      <w:r>
        <w:rPr/>
        <w:t>intencional,</w:t>
      </w:r>
      <w:r>
        <w:rPr>
          <w:spacing w:val="-12"/>
        </w:rPr>
        <w:t> </w:t>
      </w:r>
      <w:r>
        <w:rPr/>
        <w:t>la</w:t>
      </w:r>
      <w:r>
        <w:rPr>
          <w:spacing w:val="-13"/>
        </w:rPr>
        <w:t> </w:t>
      </w:r>
      <w:r>
        <w:rPr/>
        <w:t>corrupción</w:t>
      </w:r>
      <w:r>
        <w:rPr>
          <w:spacing w:val="-8"/>
        </w:rPr>
        <w:t> </w:t>
      </w:r>
      <w:r>
        <w:rPr/>
        <w:t>y el tráfico de drogas.</w:t>
      </w:r>
    </w:p>
    <w:p>
      <w:pPr>
        <w:pStyle w:val="BodyText"/>
        <w:spacing w:before="2"/>
        <w:ind w:left="0"/>
        <w:jc w:val="left"/>
      </w:pPr>
    </w:p>
    <w:p>
      <w:pPr>
        <w:pStyle w:val="BodyText"/>
        <w:ind w:right="364"/>
      </w:pPr>
      <w:r>
        <w:rPr/>
        <w:t>En este sentido, el proyecto de Ley está compuesto de 13 artículos. Entre los artículos 1 y 5 se establecen las disposiciones generales destinadas a</w:t>
      </w:r>
    </w:p>
    <w:p>
      <w:pPr>
        <w:pStyle w:val="BodyText"/>
        <w:spacing w:after="0"/>
        <w:sectPr>
          <w:type w:val="continuous"/>
          <w:pgSz w:w="12240" w:h="15840"/>
          <w:pgMar w:top="1680" w:bottom="280" w:left="1080" w:right="1080"/>
        </w:sectPr>
      </w:pPr>
    </w:p>
    <w:p>
      <w:pPr>
        <w:pStyle w:val="BodyText"/>
        <w:spacing w:before="77"/>
        <w:ind w:right="366"/>
      </w:pPr>
      <w:r>
        <w:rPr/>
        <w:t>regular el objeto, finalidades y principios de aplicación e interpretación. En los artículos restantes se consagran y desarrollan los hechos sujetos a la amnistía,</w:t>
      </w:r>
      <w:r>
        <w:rPr>
          <w:spacing w:val="-1"/>
        </w:rPr>
        <w:t> </w:t>
      </w:r>
      <w:r>
        <w:rPr/>
        <w:t>así</w:t>
      </w:r>
      <w:r>
        <w:rPr>
          <w:spacing w:val="-7"/>
        </w:rPr>
        <w:t> </w:t>
      </w:r>
      <w:r>
        <w:rPr/>
        <w:t>como</w:t>
      </w:r>
      <w:r>
        <w:rPr>
          <w:spacing w:val="-3"/>
        </w:rPr>
        <w:t> </w:t>
      </w:r>
      <w:r>
        <w:rPr/>
        <w:t>los</w:t>
      </w:r>
      <w:r>
        <w:rPr>
          <w:spacing w:val="-2"/>
        </w:rPr>
        <w:t> </w:t>
      </w:r>
      <w:r>
        <w:rPr/>
        <w:t>efectos y</w:t>
      </w:r>
      <w:r>
        <w:rPr>
          <w:spacing w:val="-7"/>
        </w:rPr>
        <w:t> </w:t>
      </w:r>
      <w:r>
        <w:rPr/>
        <w:t>procedimientos</w:t>
      </w:r>
      <w:r>
        <w:rPr>
          <w:spacing w:val="-2"/>
        </w:rPr>
        <w:t> </w:t>
      </w:r>
      <w:r>
        <w:rPr/>
        <w:t>aplicables</w:t>
      </w:r>
      <w:r>
        <w:rPr>
          <w:spacing w:val="-2"/>
        </w:rPr>
        <w:t> </w:t>
      </w:r>
      <w:r>
        <w:rPr/>
        <w:t>para</w:t>
      </w:r>
      <w:r>
        <w:rPr>
          <w:spacing w:val="-3"/>
        </w:rPr>
        <w:t> </w:t>
      </w:r>
      <w:r>
        <w:rPr/>
        <w:t>su</w:t>
      </w:r>
      <w:r>
        <w:rPr>
          <w:spacing w:val="-3"/>
        </w:rPr>
        <w:t> </w:t>
      </w:r>
      <w:r>
        <w:rPr/>
        <w:t>efectiva </w:t>
      </w:r>
      <w:r>
        <w:rPr>
          <w:spacing w:val="-2"/>
        </w:rPr>
        <w:t>implementación.</w:t>
      </w:r>
    </w:p>
    <w:p>
      <w:pPr>
        <w:pStyle w:val="BodyText"/>
        <w:spacing w:before="320"/>
        <w:ind w:right="362"/>
      </w:pPr>
      <w:r>
        <w:rPr/>
        <w:t>Con</w:t>
      </w:r>
      <w:r>
        <w:rPr>
          <w:spacing w:val="-17"/>
        </w:rPr>
        <w:t> </w:t>
      </w:r>
      <w:r>
        <w:rPr/>
        <w:t>la</w:t>
      </w:r>
      <w:r>
        <w:rPr>
          <w:spacing w:val="-16"/>
        </w:rPr>
        <w:t> </w:t>
      </w:r>
      <w:r>
        <w:rPr/>
        <w:t>aprobación</w:t>
      </w:r>
      <w:r>
        <w:rPr>
          <w:spacing w:val="-12"/>
        </w:rPr>
        <w:t> </w:t>
      </w:r>
      <w:r>
        <w:rPr/>
        <w:t>de</w:t>
      </w:r>
      <w:r>
        <w:rPr>
          <w:spacing w:val="-16"/>
        </w:rPr>
        <w:t> </w:t>
      </w:r>
      <w:r>
        <w:rPr/>
        <w:t>esta</w:t>
      </w:r>
      <w:r>
        <w:rPr>
          <w:spacing w:val="-17"/>
        </w:rPr>
        <w:t> </w:t>
      </w:r>
      <w:r>
        <w:rPr/>
        <w:t>Ley</w:t>
      </w:r>
      <w:r>
        <w:rPr>
          <w:spacing w:val="-17"/>
        </w:rPr>
        <w:t> </w:t>
      </w:r>
      <w:r>
        <w:rPr/>
        <w:t>de</w:t>
      </w:r>
      <w:r>
        <w:rPr>
          <w:spacing w:val="-16"/>
        </w:rPr>
        <w:t> </w:t>
      </w:r>
      <w:r>
        <w:rPr/>
        <w:t>Amnistía,</w:t>
      </w:r>
      <w:r>
        <w:rPr>
          <w:spacing w:val="-16"/>
        </w:rPr>
        <w:t> </w:t>
      </w:r>
      <w:r>
        <w:rPr/>
        <w:t>se</w:t>
      </w:r>
      <w:r>
        <w:rPr>
          <w:spacing w:val="-16"/>
        </w:rPr>
        <w:t> </w:t>
      </w:r>
      <w:r>
        <w:rPr/>
        <w:t>aspira</w:t>
      </w:r>
      <w:r>
        <w:rPr>
          <w:spacing w:val="-16"/>
        </w:rPr>
        <w:t> </w:t>
      </w:r>
      <w:r>
        <w:rPr/>
        <w:t>a</w:t>
      </w:r>
      <w:r>
        <w:rPr>
          <w:spacing w:val="-16"/>
        </w:rPr>
        <w:t> </w:t>
      </w:r>
      <w:r>
        <w:rPr/>
        <w:t>dar</w:t>
      </w:r>
      <w:r>
        <w:rPr>
          <w:spacing w:val="-12"/>
        </w:rPr>
        <w:t> </w:t>
      </w:r>
      <w:r>
        <w:rPr/>
        <w:t>un</w:t>
      </w:r>
      <w:r>
        <w:rPr>
          <w:spacing w:val="-16"/>
        </w:rPr>
        <w:t> </w:t>
      </w:r>
      <w:r>
        <w:rPr/>
        <w:t>paso</w:t>
      </w:r>
      <w:r>
        <w:rPr>
          <w:spacing w:val="-16"/>
        </w:rPr>
        <w:t> </w:t>
      </w:r>
      <w:r>
        <w:rPr/>
        <w:t>decisivo hacia el establecimiento de la paz nacional, garantizando la superación de los ciclos de confrontaciones estériles, mediante un acto de clemencia soberana que priorice el futuro y el respeto al Estado de derecho.</w:t>
      </w:r>
    </w:p>
    <w:p>
      <w:pPr>
        <w:pStyle w:val="BodyText"/>
        <w:spacing w:before="4"/>
        <w:ind w:left="0"/>
        <w:jc w:val="left"/>
      </w:pPr>
    </w:p>
    <w:p>
      <w:pPr>
        <w:pStyle w:val="BodyText"/>
        <w:ind w:right="360"/>
      </w:pPr>
      <w:r>
        <w:rPr/>
        <w:t>Para finalizar, es menester señalar que este proyecto de Ley no requiere aportes presupuestarios adicionales, pues su ejecución forma parte de las competencias ordinarias de los órganos del Poder Público existentes.</w:t>
      </w:r>
    </w:p>
    <w:p>
      <w:pPr>
        <w:pStyle w:val="BodyText"/>
        <w:spacing w:after="0"/>
        <w:sectPr>
          <w:pgSz w:w="12240" w:h="15840"/>
          <w:pgMar w:top="1360" w:bottom="280" w:left="1080" w:right="1080"/>
        </w:sectPr>
      </w:pPr>
    </w:p>
    <w:p>
      <w:pPr>
        <w:pStyle w:val="Heading1"/>
        <w:spacing w:before="72"/>
        <w:ind w:left="2977"/>
      </w:pPr>
      <w:r>
        <w:rPr/>
        <w:t>PROYECTO</w:t>
      </w:r>
      <w:r>
        <w:rPr>
          <w:spacing w:val="-3"/>
        </w:rPr>
        <w:t> </w:t>
      </w:r>
      <w:r>
        <w:rPr/>
        <w:t>LEY</w:t>
      </w:r>
      <w:r>
        <w:rPr>
          <w:spacing w:val="-11"/>
        </w:rPr>
        <w:t> </w:t>
      </w:r>
      <w:r>
        <w:rPr/>
        <w:t>DE</w:t>
      </w:r>
      <w:r>
        <w:rPr>
          <w:spacing w:val="-4"/>
        </w:rPr>
        <w:t> </w:t>
      </w:r>
      <w:r>
        <w:rPr/>
        <w:t>AMNISTÍA</w:t>
      </w:r>
      <w:r>
        <w:rPr>
          <w:spacing w:val="-12"/>
        </w:rPr>
        <w:t> </w:t>
      </w:r>
      <w:r>
        <w:rPr/>
        <w:t>PARA</w:t>
      </w:r>
      <w:r>
        <w:rPr>
          <w:spacing w:val="-8"/>
        </w:rPr>
        <w:t> </w:t>
      </w:r>
      <w:r>
        <w:rPr/>
        <w:t>LA CONVIVENCIA DEMOCRÁTICA</w:t>
      </w:r>
    </w:p>
    <w:p>
      <w:pPr>
        <w:pStyle w:val="BodyText"/>
        <w:spacing w:before="4"/>
        <w:ind w:left="0"/>
        <w:jc w:val="left"/>
        <w:rPr>
          <w:rFonts w:ascii="Arial"/>
          <w:b/>
        </w:rPr>
      </w:pPr>
    </w:p>
    <w:p>
      <w:pPr>
        <w:pStyle w:val="BodyText"/>
        <w:ind w:right="357" w:firstLine="8475"/>
      </w:pPr>
      <w:r>
        <w:rPr>
          <w:rFonts w:ascii="Arial" w:hAnsi="Arial"/>
          <w:b/>
          <w:i/>
          <w:spacing w:val="-2"/>
        </w:rPr>
        <w:t>Objeto</w:t>
      </w:r>
      <w:r>
        <w:rPr>
          <w:rFonts w:ascii="Arial" w:hAnsi="Arial"/>
          <w:b/>
          <w:i/>
          <w:spacing w:val="-2"/>
        </w:rPr>
        <w:t> </w:t>
      </w:r>
      <w:r>
        <w:rPr>
          <w:rFonts w:ascii="Arial" w:hAnsi="Arial"/>
          <w:b/>
        </w:rPr>
        <w:t>Artículo</w:t>
      </w:r>
      <w:r>
        <w:rPr>
          <w:rFonts w:ascii="Arial" w:hAnsi="Arial"/>
          <w:b/>
          <w:spacing w:val="-12"/>
        </w:rPr>
        <w:t> </w:t>
      </w:r>
      <w:r>
        <w:rPr>
          <w:rFonts w:ascii="Arial" w:hAnsi="Arial"/>
          <w:b/>
        </w:rPr>
        <w:t>1.</w:t>
      </w:r>
      <w:r>
        <w:rPr>
          <w:rFonts w:ascii="Arial" w:hAnsi="Arial"/>
          <w:b/>
          <w:spacing w:val="-13"/>
        </w:rPr>
        <w:t> </w:t>
      </w:r>
      <w:r>
        <w:rPr/>
        <w:t>Esta</w:t>
      </w:r>
      <w:r>
        <w:rPr>
          <w:spacing w:val="-11"/>
        </w:rPr>
        <w:t> </w:t>
      </w:r>
      <w:r>
        <w:rPr/>
        <w:t>Ley</w:t>
      </w:r>
      <w:r>
        <w:rPr>
          <w:spacing w:val="-14"/>
        </w:rPr>
        <w:t> </w:t>
      </w:r>
      <w:r>
        <w:rPr/>
        <w:t>tiene</w:t>
      </w:r>
      <w:r>
        <w:rPr>
          <w:spacing w:val="-11"/>
        </w:rPr>
        <w:t> </w:t>
      </w:r>
      <w:r>
        <w:rPr/>
        <w:t>por</w:t>
      </w:r>
      <w:r>
        <w:rPr>
          <w:spacing w:val="-11"/>
        </w:rPr>
        <w:t> </w:t>
      </w:r>
      <w:r>
        <w:rPr/>
        <w:t>objeto</w:t>
      </w:r>
      <w:r>
        <w:rPr>
          <w:spacing w:val="-11"/>
        </w:rPr>
        <w:t> </w:t>
      </w:r>
      <w:r>
        <w:rPr/>
        <w:t>conceder</w:t>
      </w:r>
      <w:r>
        <w:rPr>
          <w:spacing w:val="-11"/>
        </w:rPr>
        <w:t> </w:t>
      </w:r>
      <w:r>
        <w:rPr/>
        <w:t>una</w:t>
      </w:r>
      <w:r>
        <w:rPr>
          <w:spacing w:val="-11"/>
        </w:rPr>
        <w:t> </w:t>
      </w:r>
      <w:r>
        <w:rPr/>
        <w:t>amnistía</w:t>
      </w:r>
      <w:r>
        <w:rPr>
          <w:spacing w:val="-6"/>
        </w:rPr>
        <w:t> </w:t>
      </w:r>
      <w:r>
        <w:rPr/>
        <w:t>general</w:t>
      </w:r>
      <w:r>
        <w:rPr>
          <w:spacing w:val="-4"/>
        </w:rPr>
        <w:t> </w:t>
      </w:r>
      <w:r>
        <w:rPr/>
        <w:t>y</w:t>
      </w:r>
      <w:r>
        <w:rPr>
          <w:spacing w:val="-14"/>
        </w:rPr>
        <w:t> </w:t>
      </w:r>
      <w:r>
        <w:rPr/>
        <w:t>plena en favor de todas aquellas personas que hayan sido procesadas o condenadas por la presunta o comprobada comisión de delitos políticos o conexos,</w:t>
      </w:r>
      <w:r>
        <w:rPr>
          <w:spacing w:val="-1"/>
        </w:rPr>
        <w:t> </w:t>
      </w:r>
      <w:r>
        <w:rPr/>
        <w:t>desde</w:t>
      </w:r>
      <w:r>
        <w:rPr>
          <w:spacing w:val="-6"/>
        </w:rPr>
        <w:t> </w:t>
      </w:r>
      <w:r>
        <w:rPr/>
        <w:t>el primero</w:t>
      </w:r>
      <w:r>
        <w:rPr>
          <w:spacing w:val="-2"/>
        </w:rPr>
        <w:t> </w:t>
      </w:r>
      <w:r>
        <w:rPr/>
        <w:t>de</w:t>
      </w:r>
      <w:r>
        <w:rPr>
          <w:spacing w:val="-2"/>
        </w:rPr>
        <w:t> </w:t>
      </w:r>
      <w:r>
        <w:rPr/>
        <w:t>enero</w:t>
      </w:r>
      <w:r>
        <w:rPr>
          <w:spacing w:val="-2"/>
        </w:rPr>
        <w:t> </w:t>
      </w:r>
      <w:r>
        <w:rPr/>
        <w:t>de</w:t>
      </w:r>
      <w:r>
        <w:rPr>
          <w:spacing w:val="-2"/>
        </w:rPr>
        <w:t> </w:t>
      </w:r>
      <w:r>
        <w:rPr/>
        <w:t>1999</w:t>
      </w:r>
      <w:r>
        <w:rPr>
          <w:spacing w:val="-2"/>
        </w:rPr>
        <w:t> </w:t>
      </w:r>
      <w:r>
        <w:rPr/>
        <w:t>hasta</w:t>
      </w:r>
      <w:r>
        <w:rPr>
          <w:spacing w:val="-3"/>
        </w:rPr>
        <w:t> </w:t>
      </w:r>
      <w:r>
        <w:rPr/>
        <w:t>el</w:t>
      </w:r>
      <w:r>
        <w:rPr>
          <w:spacing w:val="-5"/>
        </w:rPr>
        <w:t> </w:t>
      </w:r>
      <w:r>
        <w:rPr/>
        <w:t>30</w:t>
      </w:r>
      <w:r>
        <w:rPr>
          <w:spacing w:val="-6"/>
        </w:rPr>
        <w:t> </w:t>
      </w:r>
      <w:r>
        <w:rPr/>
        <w:t>de</w:t>
      </w:r>
      <w:r>
        <w:rPr>
          <w:spacing w:val="-2"/>
        </w:rPr>
        <w:t> </w:t>
      </w:r>
      <w:r>
        <w:rPr/>
        <w:t>enero</w:t>
      </w:r>
      <w:r>
        <w:rPr>
          <w:spacing w:val="-2"/>
        </w:rPr>
        <w:t> </w:t>
      </w:r>
      <w:r>
        <w:rPr/>
        <w:t>de</w:t>
      </w:r>
      <w:r>
        <w:rPr>
          <w:spacing w:val="-2"/>
        </w:rPr>
        <w:t> </w:t>
      </w:r>
      <w:r>
        <w:rPr/>
        <w:t>2026, en</w:t>
      </w:r>
      <w:r>
        <w:rPr>
          <w:spacing w:val="-10"/>
        </w:rPr>
        <w:t> </w:t>
      </w:r>
      <w:r>
        <w:rPr/>
        <w:t>el</w:t>
      </w:r>
      <w:r>
        <w:rPr>
          <w:spacing w:val="-13"/>
        </w:rPr>
        <w:t> </w:t>
      </w:r>
      <w:r>
        <w:rPr/>
        <w:t>marco</w:t>
      </w:r>
      <w:r>
        <w:rPr>
          <w:spacing w:val="-11"/>
        </w:rPr>
        <w:t> </w:t>
      </w:r>
      <w:r>
        <w:rPr/>
        <w:t>de</w:t>
      </w:r>
      <w:r>
        <w:rPr>
          <w:spacing w:val="-15"/>
        </w:rPr>
        <w:t> </w:t>
      </w:r>
      <w:r>
        <w:rPr/>
        <w:t>los</w:t>
      </w:r>
      <w:r>
        <w:rPr>
          <w:spacing w:val="-7"/>
        </w:rPr>
        <w:t> </w:t>
      </w:r>
      <w:r>
        <w:rPr/>
        <w:t>sucesos</w:t>
      </w:r>
      <w:r>
        <w:rPr>
          <w:spacing w:val="-10"/>
        </w:rPr>
        <w:t> </w:t>
      </w:r>
      <w:r>
        <w:rPr/>
        <w:t>de</w:t>
      </w:r>
      <w:r>
        <w:rPr>
          <w:spacing w:val="-10"/>
        </w:rPr>
        <w:t> </w:t>
      </w:r>
      <w:r>
        <w:rPr/>
        <w:t>violencia</w:t>
      </w:r>
      <w:r>
        <w:rPr>
          <w:spacing w:val="-10"/>
        </w:rPr>
        <w:t> </w:t>
      </w:r>
      <w:r>
        <w:rPr/>
        <w:t>por</w:t>
      </w:r>
      <w:r>
        <w:rPr>
          <w:spacing w:val="-16"/>
        </w:rPr>
        <w:t> </w:t>
      </w:r>
      <w:r>
        <w:rPr/>
        <w:t>motivos</w:t>
      </w:r>
      <w:r>
        <w:rPr>
          <w:spacing w:val="-10"/>
        </w:rPr>
        <w:t> </w:t>
      </w:r>
      <w:r>
        <w:rPr/>
        <w:t>políticos</w:t>
      </w:r>
      <w:r>
        <w:rPr>
          <w:spacing w:val="-9"/>
        </w:rPr>
        <w:t> </w:t>
      </w:r>
      <w:r>
        <w:rPr/>
        <w:t>que</w:t>
      </w:r>
      <w:r>
        <w:rPr>
          <w:spacing w:val="-15"/>
        </w:rPr>
        <w:t> </w:t>
      </w:r>
      <w:r>
        <w:rPr/>
        <w:t>se</w:t>
      </w:r>
      <w:r>
        <w:rPr>
          <w:spacing w:val="-15"/>
        </w:rPr>
        <w:t> </w:t>
      </w:r>
      <w:r>
        <w:rPr/>
        <w:t>indican en esta Ley, a los fines de promover la paz social y la convivencia </w:t>
      </w:r>
      <w:r>
        <w:rPr>
          <w:spacing w:val="-2"/>
        </w:rPr>
        <w:t>democrática.</w:t>
      </w:r>
    </w:p>
    <w:p>
      <w:pPr>
        <w:pStyle w:val="BodyText"/>
        <w:spacing w:before="2"/>
        <w:ind w:left="0"/>
        <w:jc w:val="left"/>
      </w:pPr>
    </w:p>
    <w:p>
      <w:pPr>
        <w:pStyle w:val="Heading2"/>
        <w:spacing w:line="320" w:lineRule="exact"/>
        <w:ind w:right="359"/>
        <w:jc w:val="right"/>
      </w:pPr>
      <w:r>
        <w:rPr>
          <w:spacing w:val="-2"/>
        </w:rPr>
        <w:t>Finalidades</w:t>
      </w:r>
    </w:p>
    <w:p>
      <w:pPr>
        <w:spacing w:line="320" w:lineRule="exact" w:before="0"/>
        <w:ind w:left="360" w:right="0" w:firstLine="0"/>
        <w:jc w:val="left"/>
        <w:rPr>
          <w:sz w:val="28"/>
        </w:rPr>
      </w:pPr>
      <w:r>
        <w:rPr>
          <w:rFonts w:ascii="Arial" w:hAnsi="Arial"/>
          <w:b/>
          <w:sz w:val="28"/>
        </w:rPr>
        <w:t>Artículo</w:t>
      </w:r>
      <w:r>
        <w:rPr>
          <w:rFonts w:ascii="Arial" w:hAnsi="Arial"/>
          <w:b/>
          <w:spacing w:val="-5"/>
          <w:sz w:val="28"/>
        </w:rPr>
        <w:t> </w:t>
      </w:r>
      <w:r>
        <w:rPr>
          <w:rFonts w:ascii="Arial" w:hAnsi="Arial"/>
          <w:b/>
          <w:sz w:val="28"/>
        </w:rPr>
        <w:t>2.</w:t>
      </w:r>
      <w:r>
        <w:rPr>
          <w:rFonts w:ascii="Arial" w:hAnsi="Arial"/>
          <w:b/>
          <w:spacing w:val="-7"/>
          <w:sz w:val="28"/>
        </w:rPr>
        <w:t> </w:t>
      </w:r>
      <w:r>
        <w:rPr>
          <w:sz w:val="28"/>
        </w:rPr>
        <w:t>Esta</w:t>
      </w:r>
      <w:r>
        <w:rPr>
          <w:spacing w:val="-4"/>
          <w:sz w:val="28"/>
        </w:rPr>
        <w:t> </w:t>
      </w:r>
      <w:r>
        <w:rPr>
          <w:sz w:val="28"/>
        </w:rPr>
        <w:t>Ley</w:t>
      </w:r>
      <w:r>
        <w:rPr>
          <w:spacing w:val="-8"/>
          <w:sz w:val="28"/>
        </w:rPr>
        <w:t> </w:t>
      </w:r>
      <w:r>
        <w:rPr>
          <w:sz w:val="28"/>
        </w:rPr>
        <w:t>tiene</w:t>
      </w:r>
      <w:r>
        <w:rPr>
          <w:spacing w:val="-7"/>
          <w:sz w:val="28"/>
        </w:rPr>
        <w:t> </w:t>
      </w:r>
      <w:r>
        <w:rPr>
          <w:sz w:val="28"/>
        </w:rPr>
        <w:t>como</w:t>
      </w:r>
      <w:r>
        <w:rPr>
          <w:spacing w:val="-7"/>
          <w:sz w:val="28"/>
        </w:rPr>
        <w:t> </w:t>
      </w:r>
      <w:r>
        <w:rPr>
          <w:spacing w:val="-2"/>
          <w:sz w:val="28"/>
        </w:rPr>
        <w:t>finalidad:</w:t>
      </w:r>
    </w:p>
    <w:p>
      <w:pPr>
        <w:pStyle w:val="BodyText"/>
        <w:spacing w:before="4"/>
        <w:ind w:left="0"/>
        <w:jc w:val="left"/>
      </w:pPr>
    </w:p>
    <w:p>
      <w:pPr>
        <w:pStyle w:val="ListParagraph"/>
        <w:numPr>
          <w:ilvl w:val="0"/>
          <w:numId w:val="1"/>
        </w:numPr>
        <w:tabs>
          <w:tab w:pos="809" w:val="left" w:leader="none"/>
          <w:tab w:pos="811" w:val="left" w:leader="none"/>
        </w:tabs>
        <w:spacing w:line="240" w:lineRule="auto" w:before="0" w:after="0"/>
        <w:ind w:left="811" w:right="361" w:hanging="461"/>
        <w:jc w:val="both"/>
        <w:rPr>
          <w:sz w:val="28"/>
        </w:rPr>
      </w:pPr>
      <w:r>
        <w:rPr>
          <w:sz w:val="28"/>
        </w:rPr>
        <w:t>Contribuir a promover la paz, la convivencia democrática y la reconciliación nacional.</w:t>
      </w:r>
    </w:p>
    <w:p>
      <w:pPr>
        <w:pStyle w:val="ListParagraph"/>
        <w:numPr>
          <w:ilvl w:val="0"/>
          <w:numId w:val="1"/>
        </w:numPr>
        <w:tabs>
          <w:tab w:pos="809" w:val="left" w:leader="none"/>
          <w:tab w:pos="811" w:val="left" w:leader="none"/>
        </w:tabs>
        <w:spacing w:line="242" w:lineRule="auto" w:before="321" w:after="0"/>
        <w:ind w:left="811" w:right="366" w:hanging="461"/>
        <w:jc w:val="both"/>
        <w:rPr>
          <w:sz w:val="28"/>
        </w:rPr>
      </w:pPr>
      <w:r>
        <w:rPr>
          <w:sz w:val="28"/>
        </w:rPr>
        <w:t>Generar las condiciones que favorezcan el desarrollo armónico de la vida nacional, la tranquilidad pública, la participación democrática y el pluralismo político.</w:t>
      </w:r>
    </w:p>
    <w:p>
      <w:pPr>
        <w:pStyle w:val="ListParagraph"/>
        <w:numPr>
          <w:ilvl w:val="0"/>
          <w:numId w:val="1"/>
        </w:numPr>
        <w:tabs>
          <w:tab w:pos="809" w:val="left" w:leader="none"/>
          <w:tab w:pos="811" w:val="left" w:leader="none"/>
        </w:tabs>
        <w:spacing w:line="240" w:lineRule="auto" w:before="316" w:after="0"/>
        <w:ind w:left="811" w:right="355" w:hanging="461"/>
        <w:jc w:val="both"/>
        <w:rPr>
          <w:sz w:val="28"/>
        </w:rPr>
      </w:pPr>
      <w:r>
        <w:rPr>
          <w:sz w:val="28"/>
        </w:rPr>
        <w:t>Promover el uso de los mecanismos democráticos y constitucionales para dirimir las diferencias surgidas en el seno de la sociedad y así prevenir que los hechos objeto de la amnistía previstas en esta Ley vuelvan a repetirse.</w:t>
      </w:r>
    </w:p>
    <w:p>
      <w:pPr>
        <w:pStyle w:val="BodyText"/>
        <w:spacing w:before="320"/>
        <w:ind w:right="359" w:firstLine="8009"/>
      </w:pPr>
      <w:r>
        <w:rPr>
          <w:rFonts w:ascii="Arial" w:hAnsi="Arial"/>
          <w:b/>
          <w:i/>
          <w:spacing w:val="-2"/>
        </w:rPr>
        <w:t>Principios</w:t>
      </w:r>
      <w:r>
        <w:rPr>
          <w:rFonts w:ascii="Arial" w:hAnsi="Arial"/>
          <w:b/>
          <w:i/>
          <w:spacing w:val="-2"/>
        </w:rPr>
        <w:t> </w:t>
      </w:r>
      <w:r>
        <w:rPr>
          <w:rFonts w:ascii="Arial" w:hAnsi="Arial"/>
          <w:b/>
        </w:rPr>
        <w:t>Artículo</w:t>
      </w:r>
      <w:r>
        <w:rPr>
          <w:rFonts w:ascii="Arial" w:hAnsi="Arial"/>
          <w:b/>
          <w:spacing w:val="-20"/>
        </w:rPr>
        <w:t> </w:t>
      </w:r>
      <w:r>
        <w:rPr>
          <w:rFonts w:ascii="Arial" w:hAnsi="Arial"/>
          <w:b/>
        </w:rPr>
        <w:t>3.</w:t>
      </w:r>
      <w:r>
        <w:rPr>
          <w:rFonts w:ascii="Arial" w:hAnsi="Arial"/>
          <w:b/>
          <w:spacing w:val="-18"/>
        </w:rPr>
        <w:t> </w:t>
      </w:r>
      <w:r>
        <w:rPr/>
        <w:t>Esta</w:t>
      </w:r>
      <w:r>
        <w:rPr>
          <w:spacing w:val="-20"/>
        </w:rPr>
        <w:t> </w:t>
      </w:r>
      <w:r>
        <w:rPr/>
        <w:t>Ley</w:t>
      </w:r>
      <w:r>
        <w:rPr>
          <w:spacing w:val="-19"/>
        </w:rPr>
        <w:t> </w:t>
      </w:r>
      <w:r>
        <w:rPr/>
        <w:t>se</w:t>
      </w:r>
      <w:r>
        <w:rPr>
          <w:spacing w:val="-20"/>
        </w:rPr>
        <w:t> </w:t>
      </w:r>
      <w:r>
        <w:rPr/>
        <w:t>rige</w:t>
      </w:r>
      <w:r>
        <w:rPr>
          <w:spacing w:val="-19"/>
        </w:rPr>
        <w:t> </w:t>
      </w:r>
      <w:r>
        <w:rPr/>
        <w:t>por</w:t>
      </w:r>
      <w:r>
        <w:rPr>
          <w:spacing w:val="-20"/>
        </w:rPr>
        <w:t> </w:t>
      </w:r>
      <w:r>
        <w:rPr/>
        <w:t>los</w:t>
      </w:r>
      <w:r>
        <w:rPr>
          <w:spacing w:val="-15"/>
        </w:rPr>
        <w:t> </w:t>
      </w:r>
      <w:r>
        <w:rPr/>
        <w:t>principios</w:t>
      </w:r>
      <w:r>
        <w:rPr>
          <w:spacing w:val="-14"/>
        </w:rPr>
        <w:t> </w:t>
      </w:r>
      <w:r>
        <w:rPr/>
        <w:t>y</w:t>
      </w:r>
      <w:r>
        <w:rPr>
          <w:spacing w:val="-18"/>
        </w:rPr>
        <w:t> </w:t>
      </w:r>
      <w:r>
        <w:rPr/>
        <w:t>valores</w:t>
      </w:r>
      <w:r>
        <w:rPr>
          <w:spacing w:val="-14"/>
        </w:rPr>
        <w:t> </w:t>
      </w:r>
      <w:r>
        <w:rPr/>
        <w:t>superiores</w:t>
      </w:r>
      <w:r>
        <w:rPr>
          <w:spacing w:val="-19"/>
        </w:rPr>
        <w:t> </w:t>
      </w:r>
      <w:r>
        <w:rPr/>
        <w:t>de</w:t>
      </w:r>
      <w:r>
        <w:rPr>
          <w:spacing w:val="-20"/>
        </w:rPr>
        <w:t> </w:t>
      </w:r>
      <w:r>
        <w:rPr/>
        <w:t>la</w:t>
      </w:r>
      <w:r>
        <w:rPr>
          <w:spacing w:val="-19"/>
        </w:rPr>
        <w:t> </w:t>
      </w:r>
      <w:r>
        <w:rPr/>
        <w:t>vida, la libertad, la justicia, la igualdad, la solidaridad, la democracia, la responsabilidad social y en general, la preeminencia de los derechos humanos, la ética y el pluralismo político.</w:t>
      </w:r>
    </w:p>
    <w:p>
      <w:pPr>
        <w:pStyle w:val="BodyText"/>
        <w:spacing w:before="3"/>
        <w:ind w:left="0"/>
        <w:jc w:val="left"/>
      </w:pPr>
    </w:p>
    <w:p>
      <w:pPr>
        <w:spacing w:line="240" w:lineRule="auto" w:before="1"/>
        <w:ind w:left="360" w:right="359" w:firstLine="5147"/>
        <w:jc w:val="both"/>
        <w:rPr>
          <w:sz w:val="28"/>
        </w:rPr>
      </w:pPr>
      <w:r>
        <w:rPr>
          <w:rFonts w:ascii="Arial" w:hAnsi="Arial"/>
          <w:b/>
          <w:i/>
          <w:sz w:val="28"/>
        </w:rPr>
        <w:t>Orden</w:t>
      </w:r>
      <w:r>
        <w:rPr>
          <w:rFonts w:ascii="Arial" w:hAnsi="Arial"/>
          <w:b/>
          <w:i/>
          <w:spacing w:val="-13"/>
          <w:sz w:val="28"/>
        </w:rPr>
        <w:t> </w:t>
      </w:r>
      <w:r>
        <w:rPr>
          <w:rFonts w:ascii="Arial" w:hAnsi="Arial"/>
          <w:b/>
          <w:i/>
          <w:sz w:val="28"/>
        </w:rPr>
        <w:t>Público</w:t>
      </w:r>
      <w:r>
        <w:rPr>
          <w:rFonts w:ascii="Arial" w:hAnsi="Arial"/>
          <w:b/>
          <w:i/>
          <w:spacing w:val="-13"/>
          <w:sz w:val="28"/>
        </w:rPr>
        <w:t> </w:t>
      </w:r>
      <w:r>
        <w:rPr>
          <w:rFonts w:ascii="Arial" w:hAnsi="Arial"/>
          <w:b/>
          <w:i/>
          <w:sz w:val="28"/>
        </w:rPr>
        <w:t>e</w:t>
      </w:r>
      <w:r>
        <w:rPr>
          <w:rFonts w:ascii="Arial" w:hAnsi="Arial"/>
          <w:b/>
          <w:i/>
          <w:spacing w:val="-10"/>
          <w:sz w:val="28"/>
        </w:rPr>
        <w:t> </w:t>
      </w:r>
      <w:r>
        <w:rPr>
          <w:rFonts w:ascii="Arial" w:hAnsi="Arial"/>
          <w:b/>
          <w:i/>
          <w:sz w:val="28"/>
        </w:rPr>
        <w:t>interés</w:t>
      </w:r>
      <w:r>
        <w:rPr>
          <w:rFonts w:ascii="Arial" w:hAnsi="Arial"/>
          <w:b/>
          <w:i/>
          <w:spacing w:val="-9"/>
          <w:sz w:val="28"/>
        </w:rPr>
        <w:t> </w:t>
      </w:r>
      <w:r>
        <w:rPr>
          <w:rFonts w:ascii="Arial" w:hAnsi="Arial"/>
          <w:b/>
          <w:i/>
          <w:sz w:val="28"/>
        </w:rPr>
        <w:t>general </w:t>
      </w:r>
      <w:r>
        <w:rPr>
          <w:rFonts w:ascii="Arial" w:hAnsi="Arial"/>
          <w:b/>
          <w:sz w:val="28"/>
        </w:rPr>
        <w:t>Artículo 4. </w:t>
      </w:r>
      <w:r>
        <w:rPr>
          <w:sz w:val="28"/>
        </w:rPr>
        <w:t>Las disposiciones de esta Ley son de orden público e interés </w:t>
      </w:r>
      <w:r>
        <w:rPr>
          <w:spacing w:val="-2"/>
          <w:sz w:val="28"/>
        </w:rPr>
        <w:t>general.</w:t>
      </w:r>
    </w:p>
    <w:p>
      <w:pPr>
        <w:pStyle w:val="BodyText"/>
        <w:spacing w:before="320"/>
        <w:ind w:left="0"/>
        <w:jc w:val="left"/>
      </w:pPr>
    </w:p>
    <w:p>
      <w:pPr>
        <w:pStyle w:val="Heading2"/>
        <w:ind w:left="6175"/>
      </w:pPr>
      <w:r>
        <w:rPr/>
        <w:t>Principio</w:t>
      </w:r>
      <w:r>
        <w:rPr>
          <w:spacing w:val="-11"/>
        </w:rPr>
        <w:t> </w:t>
      </w:r>
      <w:r>
        <w:rPr/>
        <w:t>de</w:t>
      </w:r>
      <w:r>
        <w:rPr>
          <w:spacing w:val="-9"/>
        </w:rPr>
        <w:t> </w:t>
      </w:r>
      <w:r>
        <w:rPr>
          <w:spacing w:val="-2"/>
        </w:rPr>
        <w:t>interpretación</w:t>
      </w:r>
    </w:p>
    <w:p>
      <w:pPr>
        <w:pStyle w:val="Heading2"/>
        <w:spacing w:after="0"/>
        <w:sectPr>
          <w:pgSz w:w="12240" w:h="15840"/>
          <w:pgMar w:top="1360" w:bottom="280" w:left="1080" w:right="1080"/>
        </w:sectPr>
      </w:pPr>
    </w:p>
    <w:p>
      <w:pPr>
        <w:pStyle w:val="BodyText"/>
        <w:spacing w:line="242" w:lineRule="auto" w:before="72"/>
        <w:ind w:right="364"/>
      </w:pPr>
      <w:r>
        <w:rPr>
          <w:rFonts w:ascii="Arial" w:hAnsi="Arial"/>
          <w:b/>
        </w:rPr>
        <w:t>Artículo 5. </w:t>
      </w:r>
      <w:r>
        <w:rPr/>
        <w:t>En caso de dudas en la interpretación o aplicación de esta Ley se</w:t>
      </w:r>
      <w:r>
        <w:rPr>
          <w:spacing w:val="-8"/>
        </w:rPr>
        <w:t> </w:t>
      </w:r>
      <w:r>
        <w:rPr/>
        <w:t>adoptará</w:t>
      </w:r>
      <w:r>
        <w:rPr>
          <w:spacing w:val="-8"/>
        </w:rPr>
        <w:t> </w:t>
      </w:r>
      <w:r>
        <w:rPr/>
        <w:t>aquella</w:t>
      </w:r>
      <w:r>
        <w:rPr>
          <w:spacing w:val="-8"/>
        </w:rPr>
        <w:t> </w:t>
      </w:r>
      <w:r>
        <w:rPr/>
        <w:t>que</w:t>
      </w:r>
      <w:r>
        <w:rPr>
          <w:spacing w:val="-8"/>
        </w:rPr>
        <w:t> </w:t>
      </w:r>
      <w:r>
        <w:rPr/>
        <w:t>más</w:t>
      </w:r>
      <w:r>
        <w:rPr>
          <w:spacing w:val="-3"/>
        </w:rPr>
        <w:t> </w:t>
      </w:r>
      <w:r>
        <w:rPr/>
        <w:t>favorezca el</w:t>
      </w:r>
      <w:r>
        <w:rPr>
          <w:spacing w:val="-7"/>
        </w:rPr>
        <w:t> </w:t>
      </w:r>
      <w:r>
        <w:rPr/>
        <w:t>respeto,</w:t>
      </w:r>
      <w:r>
        <w:rPr>
          <w:spacing w:val="-4"/>
        </w:rPr>
        <w:t> </w:t>
      </w:r>
      <w:r>
        <w:rPr/>
        <w:t>protección</w:t>
      </w:r>
      <w:r>
        <w:rPr>
          <w:spacing w:val="-4"/>
        </w:rPr>
        <w:t> </w:t>
      </w:r>
      <w:r>
        <w:rPr/>
        <w:t>y</w:t>
      </w:r>
      <w:r>
        <w:rPr>
          <w:spacing w:val="-8"/>
        </w:rPr>
        <w:t> </w:t>
      </w:r>
      <w:r>
        <w:rPr/>
        <w:t>garantía</w:t>
      </w:r>
      <w:r>
        <w:rPr>
          <w:spacing w:val="-4"/>
        </w:rPr>
        <w:t> </w:t>
      </w:r>
      <w:r>
        <w:rPr/>
        <w:t>de los derechos humanos.</w:t>
      </w:r>
    </w:p>
    <w:p>
      <w:pPr>
        <w:pStyle w:val="BodyText"/>
        <w:ind w:right="359" w:firstLine="7106"/>
      </w:pPr>
      <w:r>
        <w:rPr>
          <w:rFonts w:ascii="Arial" w:hAnsi="Arial"/>
          <w:b/>
          <w:i/>
        </w:rPr>
        <w:t>Amnistía</w:t>
      </w:r>
      <w:r>
        <w:rPr>
          <w:rFonts w:ascii="Arial" w:hAnsi="Arial"/>
          <w:b/>
          <w:i/>
          <w:spacing w:val="-20"/>
        </w:rPr>
        <w:t> </w:t>
      </w:r>
      <w:r>
        <w:rPr>
          <w:rFonts w:ascii="Arial" w:hAnsi="Arial"/>
          <w:b/>
          <w:i/>
        </w:rPr>
        <w:t>general </w:t>
      </w:r>
      <w:r>
        <w:rPr>
          <w:rFonts w:ascii="Arial" w:hAnsi="Arial"/>
          <w:b/>
        </w:rPr>
        <w:t>Artículo</w:t>
      </w:r>
      <w:r>
        <w:rPr>
          <w:rFonts w:ascii="Arial" w:hAnsi="Arial"/>
          <w:b/>
          <w:spacing w:val="-18"/>
        </w:rPr>
        <w:t> </w:t>
      </w:r>
      <w:r>
        <w:rPr>
          <w:rFonts w:ascii="Arial" w:hAnsi="Arial"/>
          <w:b/>
        </w:rPr>
        <w:t>6.</w:t>
      </w:r>
      <w:r>
        <w:rPr>
          <w:rFonts w:ascii="Arial" w:hAnsi="Arial"/>
          <w:b/>
          <w:spacing w:val="-17"/>
        </w:rPr>
        <w:t> </w:t>
      </w:r>
      <w:r>
        <w:rPr/>
        <w:t>Se</w:t>
      </w:r>
      <w:r>
        <w:rPr>
          <w:spacing w:val="-17"/>
        </w:rPr>
        <w:t> </w:t>
      </w:r>
      <w:r>
        <w:rPr/>
        <w:t>concede</w:t>
      </w:r>
      <w:r>
        <w:rPr>
          <w:spacing w:val="-17"/>
        </w:rPr>
        <w:t> </w:t>
      </w:r>
      <w:r>
        <w:rPr/>
        <w:t>amnistía</w:t>
      </w:r>
      <w:r>
        <w:rPr>
          <w:spacing w:val="-18"/>
        </w:rPr>
        <w:t> </w:t>
      </w:r>
      <w:r>
        <w:rPr/>
        <w:t>general</w:t>
      </w:r>
      <w:r>
        <w:rPr>
          <w:spacing w:val="-20"/>
        </w:rPr>
        <w:t> </w:t>
      </w:r>
      <w:r>
        <w:rPr/>
        <w:t>a</w:t>
      </w:r>
      <w:r>
        <w:rPr>
          <w:spacing w:val="-17"/>
        </w:rPr>
        <w:t> </w:t>
      </w:r>
      <w:r>
        <w:rPr/>
        <w:t>favor</w:t>
      </w:r>
      <w:r>
        <w:rPr>
          <w:spacing w:val="-18"/>
        </w:rPr>
        <w:t> </w:t>
      </w:r>
      <w:r>
        <w:rPr/>
        <w:t>de</w:t>
      </w:r>
      <w:r>
        <w:rPr>
          <w:spacing w:val="-18"/>
        </w:rPr>
        <w:t> </w:t>
      </w:r>
      <w:r>
        <w:rPr/>
        <w:t>todas</w:t>
      </w:r>
      <w:r>
        <w:rPr>
          <w:spacing w:val="-20"/>
        </w:rPr>
        <w:t> </w:t>
      </w:r>
      <w:r>
        <w:rPr/>
        <w:t>aquellas</w:t>
      </w:r>
      <w:r>
        <w:rPr>
          <w:spacing w:val="-15"/>
        </w:rPr>
        <w:t> </w:t>
      </w:r>
      <w:r>
        <w:rPr/>
        <w:t>personas que hayan sido procesadas o condenadas, por la presunta o comprobada comisión de delitos políticos o conexos, desde el 1 de enero de 1999 al 30 de enero de 2026, en el contexto de los siguientes hechos:</w:t>
      </w:r>
    </w:p>
    <w:p>
      <w:pPr>
        <w:pStyle w:val="ListParagraph"/>
        <w:numPr>
          <w:ilvl w:val="0"/>
          <w:numId w:val="2"/>
        </w:numPr>
        <w:tabs>
          <w:tab w:pos="808" w:val="left" w:leader="none"/>
          <w:tab w:pos="811" w:val="left" w:leader="none"/>
        </w:tabs>
        <w:spacing w:line="240" w:lineRule="auto" w:before="319" w:after="0"/>
        <w:ind w:left="811" w:right="362" w:hanging="452"/>
        <w:jc w:val="both"/>
        <w:rPr>
          <w:sz w:val="28"/>
        </w:rPr>
      </w:pPr>
      <w:r>
        <w:rPr>
          <w:sz w:val="28"/>
        </w:rPr>
        <w:t>El Golpe de Estado del 11 de abril de 2002, incluidos los asaltos y ataques contra gobernaciones, alcaldías e instalaciones públicas y </w:t>
      </w:r>
      <w:r>
        <w:rPr>
          <w:spacing w:val="-2"/>
          <w:sz w:val="28"/>
        </w:rPr>
        <w:t>privadas.</w:t>
      </w:r>
    </w:p>
    <w:p>
      <w:pPr>
        <w:pStyle w:val="ListParagraph"/>
        <w:numPr>
          <w:ilvl w:val="0"/>
          <w:numId w:val="2"/>
        </w:numPr>
        <w:tabs>
          <w:tab w:pos="808" w:val="left" w:leader="none"/>
          <w:tab w:pos="811" w:val="left" w:leader="none"/>
        </w:tabs>
        <w:spacing w:line="240" w:lineRule="auto" w:before="322" w:after="0"/>
        <w:ind w:left="811" w:right="364" w:hanging="452"/>
        <w:jc w:val="both"/>
        <w:rPr>
          <w:sz w:val="28"/>
        </w:rPr>
      </w:pPr>
      <w:r>
        <w:rPr>
          <w:sz w:val="28"/>
        </w:rPr>
        <w:t>Los hechos de violencia por motivos políticos en el marco del paro y sabotaje empresarial y petrolero de diciembre de 2002 a febrero de </w:t>
      </w:r>
      <w:r>
        <w:rPr>
          <w:spacing w:val="-2"/>
          <w:sz w:val="28"/>
        </w:rPr>
        <w:t>2003.</w:t>
      </w:r>
    </w:p>
    <w:p>
      <w:pPr>
        <w:pStyle w:val="ListParagraph"/>
        <w:numPr>
          <w:ilvl w:val="0"/>
          <w:numId w:val="2"/>
        </w:numPr>
        <w:tabs>
          <w:tab w:pos="808" w:val="left" w:leader="none"/>
          <w:tab w:pos="811" w:val="left" w:leader="none"/>
        </w:tabs>
        <w:spacing w:line="240" w:lineRule="auto" w:before="320" w:after="0"/>
        <w:ind w:left="811" w:right="362" w:hanging="452"/>
        <w:jc w:val="both"/>
        <w:rPr>
          <w:sz w:val="28"/>
        </w:rPr>
      </w:pPr>
      <w:r>
        <w:rPr>
          <w:sz w:val="28"/>
        </w:rPr>
        <w:t>Los hechos de violencia por motivos políticos acaecidos en febrero y marzo de 2004.</w:t>
      </w:r>
    </w:p>
    <w:p>
      <w:pPr>
        <w:pStyle w:val="BodyText"/>
        <w:spacing w:before="28"/>
        <w:ind w:left="0"/>
        <w:jc w:val="left"/>
      </w:pPr>
    </w:p>
    <w:p>
      <w:pPr>
        <w:pStyle w:val="ListParagraph"/>
        <w:numPr>
          <w:ilvl w:val="0"/>
          <w:numId w:val="2"/>
        </w:numPr>
        <w:tabs>
          <w:tab w:pos="808" w:val="left" w:leader="none"/>
          <w:tab w:pos="811" w:val="left" w:leader="none"/>
        </w:tabs>
        <w:spacing w:line="240" w:lineRule="auto" w:before="0" w:after="0"/>
        <w:ind w:left="811" w:right="368" w:hanging="452"/>
        <w:jc w:val="both"/>
        <w:rPr>
          <w:sz w:val="28"/>
        </w:rPr>
      </w:pPr>
      <w:r>
        <w:rPr>
          <w:sz w:val="28"/>
        </w:rPr>
        <w:t>Los hechos de violencia por motivos políticos acaecidos en agosto de </w:t>
      </w:r>
      <w:r>
        <w:rPr>
          <w:spacing w:val="-2"/>
          <w:sz w:val="28"/>
        </w:rPr>
        <w:t>2004.</w:t>
      </w:r>
    </w:p>
    <w:p>
      <w:pPr>
        <w:pStyle w:val="ListParagraph"/>
        <w:numPr>
          <w:ilvl w:val="0"/>
          <w:numId w:val="2"/>
        </w:numPr>
        <w:tabs>
          <w:tab w:pos="808" w:val="left" w:leader="none"/>
          <w:tab w:pos="811" w:val="left" w:leader="none"/>
        </w:tabs>
        <w:spacing w:line="240" w:lineRule="auto" w:before="321" w:after="0"/>
        <w:ind w:left="811" w:right="359" w:hanging="452"/>
        <w:jc w:val="both"/>
        <w:rPr>
          <w:sz w:val="28"/>
        </w:rPr>
      </w:pPr>
      <w:r>
        <w:rPr>
          <w:sz w:val="28"/>
        </w:rPr>
        <w:t>Los hechos de violencia por motivos políticos acaecidos en mayo de </w:t>
      </w:r>
      <w:r>
        <w:rPr>
          <w:spacing w:val="-2"/>
          <w:sz w:val="28"/>
        </w:rPr>
        <w:t>2007.</w:t>
      </w:r>
    </w:p>
    <w:p>
      <w:pPr>
        <w:pStyle w:val="ListParagraph"/>
        <w:numPr>
          <w:ilvl w:val="0"/>
          <w:numId w:val="2"/>
        </w:numPr>
        <w:tabs>
          <w:tab w:pos="808" w:val="left" w:leader="none"/>
          <w:tab w:pos="811" w:val="left" w:leader="none"/>
        </w:tabs>
        <w:spacing w:line="240" w:lineRule="auto" w:before="321" w:after="0"/>
        <w:ind w:left="811" w:right="367" w:hanging="452"/>
        <w:jc w:val="both"/>
        <w:rPr>
          <w:sz w:val="28"/>
        </w:rPr>
      </w:pPr>
      <w:r>
        <w:rPr>
          <w:sz w:val="28"/>
        </w:rPr>
        <w:t>Los</w:t>
      </w:r>
      <w:r>
        <w:rPr>
          <w:spacing w:val="-1"/>
          <w:sz w:val="28"/>
        </w:rPr>
        <w:t> </w:t>
      </w:r>
      <w:r>
        <w:rPr>
          <w:sz w:val="28"/>
        </w:rPr>
        <w:t>hechos</w:t>
      </w:r>
      <w:r>
        <w:rPr>
          <w:spacing w:val="-2"/>
          <w:sz w:val="28"/>
        </w:rPr>
        <w:t> </w:t>
      </w:r>
      <w:r>
        <w:rPr>
          <w:sz w:val="28"/>
        </w:rPr>
        <w:t>de</w:t>
      </w:r>
      <w:r>
        <w:rPr>
          <w:spacing w:val="-3"/>
          <w:sz w:val="28"/>
        </w:rPr>
        <w:t> </w:t>
      </w:r>
      <w:r>
        <w:rPr>
          <w:sz w:val="28"/>
        </w:rPr>
        <w:t>violencia</w:t>
      </w:r>
      <w:r>
        <w:rPr>
          <w:spacing w:val="-3"/>
          <w:sz w:val="28"/>
        </w:rPr>
        <w:t> </w:t>
      </w:r>
      <w:r>
        <w:rPr>
          <w:sz w:val="28"/>
        </w:rPr>
        <w:t>por</w:t>
      </w:r>
      <w:r>
        <w:rPr>
          <w:spacing w:val="-7"/>
          <w:sz w:val="28"/>
        </w:rPr>
        <w:t> </w:t>
      </w:r>
      <w:r>
        <w:rPr>
          <w:sz w:val="28"/>
        </w:rPr>
        <w:t>motivos</w:t>
      </w:r>
      <w:r>
        <w:rPr>
          <w:spacing w:val="-1"/>
          <w:sz w:val="28"/>
        </w:rPr>
        <w:t> </w:t>
      </w:r>
      <w:r>
        <w:rPr>
          <w:sz w:val="28"/>
        </w:rPr>
        <w:t>políticos</w:t>
      </w:r>
      <w:r>
        <w:rPr>
          <w:spacing w:val="-2"/>
          <w:sz w:val="28"/>
        </w:rPr>
        <w:t> </w:t>
      </w:r>
      <w:r>
        <w:rPr>
          <w:sz w:val="28"/>
        </w:rPr>
        <w:t>acaecidos</w:t>
      </w:r>
      <w:r>
        <w:rPr>
          <w:spacing w:val="-2"/>
          <w:sz w:val="28"/>
        </w:rPr>
        <w:t> </w:t>
      </w:r>
      <w:r>
        <w:rPr>
          <w:sz w:val="28"/>
        </w:rPr>
        <w:t>en</w:t>
      </w:r>
      <w:r>
        <w:rPr>
          <w:spacing w:val="-3"/>
          <w:sz w:val="28"/>
        </w:rPr>
        <w:t> </w:t>
      </w:r>
      <w:r>
        <w:rPr>
          <w:sz w:val="28"/>
        </w:rPr>
        <w:t>el</w:t>
      </w:r>
      <w:r>
        <w:rPr>
          <w:spacing w:val="-1"/>
          <w:sz w:val="28"/>
        </w:rPr>
        <w:t> </w:t>
      </w:r>
      <w:r>
        <w:rPr>
          <w:sz w:val="28"/>
        </w:rPr>
        <w:t>marco</w:t>
      </w:r>
      <w:r>
        <w:rPr>
          <w:spacing w:val="-3"/>
          <w:sz w:val="28"/>
        </w:rPr>
        <w:t> </w:t>
      </w:r>
      <w:r>
        <w:rPr>
          <w:sz w:val="28"/>
        </w:rPr>
        <w:t>de las elecciones presidenciales de abril de 2013.</w:t>
      </w:r>
    </w:p>
    <w:p>
      <w:pPr>
        <w:pStyle w:val="BodyText"/>
        <w:spacing w:before="4"/>
        <w:ind w:left="0"/>
        <w:jc w:val="left"/>
      </w:pPr>
    </w:p>
    <w:p>
      <w:pPr>
        <w:pStyle w:val="ListParagraph"/>
        <w:numPr>
          <w:ilvl w:val="0"/>
          <w:numId w:val="2"/>
        </w:numPr>
        <w:tabs>
          <w:tab w:pos="808" w:val="left" w:leader="none"/>
          <w:tab w:pos="811" w:val="left" w:leader="none"/>
        </w:tabs>
        <w:spacing w:line="240" w:lineRule="auto" w:before="0" w:after="0"/>
        <w:ind w:left="811" w:right="364" w:hanging="452"/>
        <w:jc w:val="both"/>
        <w:rPr>
          <w:sz w:val="28"/>
        </w:rPr>
      </w:pPr>
      <w:r>
        <w:rPr>
          <w:sz w:val="28"/>
        </w:rPr>
        <w:t>Los hechos de</w:t>
      </w:r>
      <w:r>
        <w:rPr>
          <w:spacing w:val="-2"/>
          <w:sz w:val="28"/>
        </w:rPr>
        <w:t> </w:t>
      </w:r>
      <w:r>
        <w:rPr>
          <w:sz w:val="28"/>
        </w:rPr>
        <w:t>violencia por</w:t>
      </w:r>
      <w:r>
        <w:rPr>
          <w:spacing w:val="-2"/>
          <w:sz w:val="28"/>
        </w:rPr>
        <w:t> </w:t>
      </w:r>
      <w:r>
        <w:rPr>
          <w:sz w:val="28"/>
        </w:rPr>
        <w:t>motivos políticos</w:t>
      </w:r>
      <w:r>
        <w:rPr>
          <w:spacing w:val="-1"/>
          <w:sz w:val="28"/>
        </w:rPr>
        <w:t> </w:t>
      </w:r>
      <w:r>
        <w:rPr>
          <w:sz w:val="28"/>
        </w:rPr>
        <w:t>acaecidos entre</w:t>
      </w:r>
      <w:r>
        <w:rPr>
          <w:spacing w:val="-2"/>
          <w:sz w:val="28"/>
        </w:rPr>
        <w:t> </w:t>
      </w:r>
      <w:r>
        <w:rPr>
          <w:sz w:val="28"/>
        </w:rPr>
        <w:t>febrero y junio de 2014.</w:t>
      </w:r>
    </w:p>
    <w:p>
      <w:pPr>
        <w:pStyle w:val="ListParagraph"/>
        <w:numPr>
          <w:ilvl w:val="0"/>
          <w:numId w:val="2"/>
        </w:numPr>
        <w:tabs>
          <w:tab w:pos="808" w:val="left" w:leader="none"/>
          <w:tab w:pos="811" w:val="left" w:leader="none"/>
        </w:tabs>
        <w:spacing w:line="240" w:lineRule="auto" w:before="321" w:after="0"/>
        <w:ind w:left="811" w:right="364" w:hanging="452"/>
        <w:jc w:val="both"/>
        <w:rPr>
          <w:sz w:val="28"/>
        </w:rPr>
      </w:pPr>
      <w:r>
        <w:rPr>
          <w:sz w:val="28"/>
        </w:rPr>
        <w:t>Los hechos de violencia por motivos políticos acaecidos entre marzo y agosto de 2017.</w:t>
      </w:r>
    </w:p>
    <w:p>
      <w:pPr>
        <w:pStyle w:val="ListParagraph"/>
        <w:numPr>
          <w:ilvl w:val="0"/>
          <w:numId w:val="2"/>
        </w:numPr>
        <w:tabs>
          <w:tab w:pos="808" w:val="left" w:leader="none"/>
          <w:tab w:pos="811" w:val="left" w:leader="none"/>
        </w:tabs>
        <w:spacing w:line="240" w:lineRule="auto" w:before="322" w:after="0"/>
        <w:ind w:left="811" w:right="362" w:hanging="452"/>
        <w:jc w:val="both"/>
        <w:rPr>
          <w:sz w:val="28"/>
        </w:rPr>
      </w:pPr>
      <w:r>
        <w:rPr>
          <w:sz w:val="28"/>
        </w:rPr>
        <w:t>Los hechos de violencia por motivos políticos acaecidos entre enero y abril de 2019.</w:t>
      </w:r>
    </w:p>
    <w:p>
      <w:pPr>
        <w:pStyle w:val="ListParagraph"/>
        <w:numPr>
          <w:ilvl w:val="0"/>
          <w:numId w:val="2"/>
        </w:numPr>
        <w:tabs>
          <w:tab w:pos="807" w:val="left" w:leader="none"/>
          <w:tab w:pos="811" w:val="left" w:leader="none"/>
        </w:tabs>
        <w:spacing w:line="240" w:lineRule="auto" w:before="320" w:after="0"/>
        <w:ind w:left="811" w:right="367" w:hanging="452"/>
        <w:jc w:val="both"/>
        <w:rPr>
          <w:sz w:val="28"/>
        </w:rPr>
      </w:pPr>
      <w:r>
        <w:rPr>
          <w:sz w:val="28"/>
        </w:rPr>
        <w:t>Los</w:t>
      </w:r>
      <w:r>
        <w:rPr>
          <w:spacing w:val="-1"/>
          <w:sz w:val="28"/>
        </w:rPr>
        <w:t> </w:t>
      </w:r>
      <w:r>
        <w:rPr>
          <w:sz w:val="28"/>
        </w:rPr>
        <w:t>hechos</w:t>
      </w:r>
      <w:r>
        <w:rPr>
          <w:spacing w:val="-2"/>
          <w:sz w:val="28"/>
        </w:rPr>
        <w:t> </w:t>
      </w:r>
      <w:r>
        <w:rPr>
          <w:sz w:val="28"/>
        </w:rPr>
        <w:t>de</w:t>
      </w:r>
      <w:r>
        <w:rPr>
          <w:spacing w:val="-3"/>
          <w:sz w:val="28"/>
        </w:rPr>
        <w:t> </w:t>
      </w:r>
      <w:r>
        <w:rPr>
          <w:sz w:val="28"/>
        </w:rPr>
        <w:t>violencia</w:t>
      </w:r>
      <w:r>
        <w:rPr>
          <w:spacing w:val="-3"/>
          <w:sz w:val="28"/>
        </w:rPr>
        <w:t> </w:t>
      </w:r>
      <w:r>
        <w:rPr>
          <w:sz w:val="28"/>
        </w:rPr>
        <w:t>por</w:t>
      </w:r>
      <w:r>
        <w:rPr>
          <w:spacing w:val="-7"/>
          <w:sz w:val="28"/>
        </w:rPr>
        <w:t> </w:t>
      </w:r>
      <w:r>
        <w:rPr>
          <w:sz w:val="28"/>
        </w:rPr>
        <w:t>motivos</w:t>
      </w:r>
      <w:r>
        <w:rPr>
          <w:spacing w:val="-1"/>
          <w:sz w:val="28"/>
        </w:rPr>
        <w:t> </w:t>
      </w:r>
      <w:r>
        <w:rPr>
          <w:sz w:val="28"/>
        </w:rPr>
        <w:t>políticos</w:t>
      </w:r>
      <w:r>
        <w:rPr>
          <w:spacing w:val="-2"/>
          <w:sz w:val="28"/>
        </w:rPr>
        <w:t> </w:t>
      </w:r>
      <w:r>
        <w:rPr>
          <w:sz w:val="28"/>
        </w:rPr>
        <w:t>acaecidos</w:t>
      </w:r>
      <w:r>
        <w:rPr>
          <w:spacing w:val="-2"/>
          <w:sz w:val="28"/>
        </w:rPr>
        <w:t> </w:t>
      </w:r>
      <w:r>
        <w:rPr>
          <w:sz w:val="28"/>
        </w:rPr>
        <w:t>en</w:t>
      </w:r>
      <w:r>
        <w:rPr>
          <w:spacing w:val="-3"/>
          <w:sz w:val="28"/>
        </w:rPr>
        <w:t> </w:t>
      </w:r>
      <w:r>
        <w:rPr>
          <w:sz w:val="28"/>
        </w:rPr>
        <w:t>el</w:t>
      </w:r>
      <w:r>
        <w:rPr>
          <w:spacing w:val="-1"/>
          <w:sz w:val="28"/>
        </w:rPr>
        <w:t> </w:t>
      </w:r>
      <w:r>
        <w:rPr>
          <w:sz w:val="28"/>
        </w:rPr>
        <w:t>marco</w:t>
      </w:r>
      <w:r>
        <w:rPr>
          <w:spacing w:val="-3"/>
          <w:sz w:val="28"/>
        </w:rPr>
        <w:t> </w:t>
      </w:r>
      <w:r>
        <w:rPr>
          <w:sz w:val="28"/>
        </w:rPr>
        <w:t>de las elecciones presidenciales de julio de 2024.</w:t>
      </w:r>
    </w:p>
    <w:p>
      <w:pPr>
        <w:pStyle w:val="ListParagraph"/>
        <w:spacing w:after="0" w:line="240" w:lineRule="auto"/>
        <w:jc w:val="both"/>
        <w:rPr>
          <w:sz w:val="28"/>
        </w:rPr>
        <w:sectPr>
          <w:pgSz w:w="12240" w:h="15840"/>
          <w:pgMar w:top="1360" w:bottom="280" w:left="1080" w:right="1080"/>
        </w:sectPr>
      </w:pPr>
    </w:p>
    <w:p>
      <w:pPr>
        <w:pStyle w:val="BodyText"/>
        <w:spacing w:before="78"/>
        <w:ind w:right="359" w:firstLine="7058"/>
      </w:pPr>
      <w:r>
        <w:rPr>
          <w:rFonts w:ascii="Arial" w:hAnsi="Arial"/>
          <w:b/>
          <w:i/>
        </w:rPr>
        <w:t>Delitos</w:t>
      </w:r>
      <w:r>
        <w:rPr>
          <w:rFonts w:ascii="Arial" w:hAnsi="Arial"/>
          <w:b/>
          <w:i/>
          <w:spacing w:val="-20"/>
        </w:rPr>
        <w:t> </w:t>
      </w:r>
      <w:r>
        <w:rPr>
          <w:rFonts w:ascii="Arial" w:hAnsi="Arial"/>
          <w:b/>
          <w:i/>
        </w:rPr>
        <w:t>excluidos </w:t>
      </w:r>
      <w:r>
        <w:rPr>
          <w:rFonts w:ascii="Arial" w:hAnsi="Arial"/>
          <w:b/>
        </w:rPr>
        <w:t>Artículo</w:t>
      </w:r>
      <w:r>
        <w:rPr>
          <w:rFonts w:ascii="Arial" w:hAnsi="Arial"/>
          <w:b/>
          <w:spacing w:val="-20"/>
        </w:rPr>
        <w:t> </w:t>
      </w:r>
      <w:r>
        <w:rPr>
          <w:rFonts w:ascii="Arial" w:hAnsi="Arial"/>
          <w:b/>
        </w:rPr>
        <w:t>7.</w:t>
      </w:r>
      <w:r>
        <w:rPr>
          <w:rFonts w:ascii="Arial" w:hAnsi="Arial"/>
          <w:b/>
          <w:spacing w:val="-19"/>
        </w:rPr>
        <w:t> </w:t>
      </w:r>
      <w:r>
        <w:rPr/>
        <w:t>Estarán</w:t>
      </w:r>
      <w:r>
        <w:rPr>
          <w:spacing w:val="-19"/>
        </w:rPr>
        <w:t> </w:t>
      </w:r>
      <w:r>
        <w:rPr/>
        <w:t>excluidas</w:t>
      </w:r>
      <w:r>
        <w:rPr>
          <w:spacing w:val="-15"/>
        </w:rPr>
        <w:t> </w:t>
      </w:r>
      <w:r>
        <w:rPr/>
        <w:t>de</w:t>
      </w:r>
      <w:r>
        <w:rPr>
          <w:spacing w:val="-20"/>
        </w:rPr>
        <w:t> </w:t>
      </w:r>
      <w:r>
        <w:rPr/>
        <w:t>la</w:t>
      </w:r>
      <w:r>
        <w:rPr>
          <w:spacing w:val="-19"/>
        </w:rPr>
        <w:t> </w:t>
      </w:r>
      <w:r>
        <w:rPr/>
        <w:t>aplicación</w:t>
      </w:r>
      <w:r>
        <w:rPr>
          <w:spacing w:val="-17"/>
        </w:rPr>
        <w:t> </w:t>
      </w:r>
      <w:r>
        <w:rPr/>
        <w:t>de</w:t>
      </w:r>
      <w:r>
        <w:rPr>
          <w:spacing w:val="-17"/>
        </w:rPr>
        <w:t> </w:t>
      </w:r>
      <w:r>
        <w:rPr/>
        <w:t>la</w:t>
      </w:r>
      <w:r>
        <w:rPr>
          <w:spacing w:val="-20"/>
        </w:rPr>
        <w:t> </w:t>
      </w:r>
      <w:r>
        <w:rPr/>
        <w:t>amnistía</w:t>
      </w:r>
      <w:r>
        <w:rPr>
          <w:spacing w:val="-16"/>
        </w:rPr>
        <w:t> </w:t>
      </w:r>
      <w:r>
        <w:rPr/>
        <w:t>prevista</w:t>
      </w:r>
      <w:r>
        <w:rPr>
          <w:spacing w:val="-20"/>
        </w:rPr>
        <w:t> </w:t>
      </w:r>
      <w:r>
        <w:rPr/>
        <w:t>en</w:t>
      </w:r>
      <w:r>
        <w:rPr>
          <w:spacing w:val="-19"/>
        </w:rPr>
        <w:t> </w:t>
      </w:r>
      <w:r>
        <w:rPr/>
        <w:t>esta Ley,</w:t>
      </w:r>
      <w:r>
        <w:rPr>
          <w:spacing w:val="-7"/>
        </w:rPr>
        <w:t> </w:t>
      </w:r>
      <w:r>
        <w:rPr/>
        <w:t>las</w:t>
      </w:r>
      <w:r>
        <w:rPr>
          <w:spacing w:val="-6"/>
        </w:rPr>
        <w:t> </w:t>
      </w:r>
      <w:r>
        <w:rPr/>
        <w:t>personas</w:t>
      </w:r>
      <w:r>
        <w:rPr>
          <w:spacing w:val="-6"/>
        </w:rPr>
        <w:t> </w:t>
      </w:r>
      <w:r>
        <w:rPr/>
        <w:t>procesadas</w:t>
      </w:r>
      <w:r>
        <w:rPr>
          <w:spacing w:val="-2"/>
        </w:rPr>
        <w:t> </w:t>
      </w:r>
      <w:r>
        <w:rPr/>
        <w:t>o</w:t>
      </w:r>
      <w:r>
        <w:rPr>
          <w:spacing w:val="-7"/>
        </w:rPr>
        <w:t> </w:t>
      </w:r>
      <w:r>
        <w:rPr/>
        <w:t>condenadas</w:t>
      </w:r>
      <w:r>
        <w:rPr>
          <w:spacing w:val="-6"/>
        </w:rPr>
        <w:t> </w:t>
      </w:r>
      <w:r>
        <w:rPr/>
        <w:t>por</w:t>
      </w:r>
      <w:r>
        <w:rPr>
          <w:spacing w:val="-3"/>
        </w:rPr>
        <w:t> </w:t>
      </w:r>
      <w:r>
        <w:rPr/>
        <w:t>la</w:t>
      </w:r>
      <w:r>
        <w:rPr>
          <w:spacing w:val="-7"/>
        </w:rPr>
        <w:t> </w:t>
      </w:r>
      <w:r>
        <w:rPr/>
        <w:t>presunta</w:t>
      </w:r>
      <w:r>
        <w:rPr>
          <w:spacing w:val="-7"/>
        </w:rPr>
        <w:t> </w:t>
      </w:r>
      <w:r>
        <w:rPr/>
        <w:t>o</w:t>
      </w:r>
      <w:r>
        <w:rPr>
          <w:spacing w:val="-7"/>
        </w:rPr>
        <w:t> </w:t>
      </w:r>
      <w:r>
        <w:rPr/>
        <w:t>comprobada comisión de los siguientes delitos:</w:t>
      </w:r>
    </w:p>
    <w:p>
      <w:pPr>
        <w:pStyle w:val="ListParagraph"/>
        <w:numPr>
          <w:ilvl w:val="0"/>
          <w:numId w:val="3"/>
        </w:numPr>
        <w:tabs>
          <w:tab w:pos="718" w:val="left" w:leader="none"/>
          <w:tab w:pos="720" w:val="left" w:leader="none"/>
        </w:tabs>
        <w:spacing w:line="242" w:lineRule="auto" w:before="321" w:after="0"/>
        <w:ind w:left="720" w:right="359" w:hanging="360"/>
        <w:jc w:val="both"/>
        <w:rPr>
          <w:sz w:val="28"/>
        </w:rPr>
      </w:pPr>
      <w:r>
        <w:rPr>
          <w:sz w:val="28"/>
        </w:rPr>
        <w:t>Violaciones graves a los derechos humanos, delitos de lesa humanidad y crímenes de guerra, conforme a lo previsto en el artículo 29 de la Constitución de la República Bolivariana de Venezuela.</w:t>
      </w:r>
    </w:p>
    <w:p>
      <w:pPr>
        <w:pStyle w:val="ListParagraph"/>
        <w:numPr>
          <w:ilvl w:val="0"/>
          <w:numId w:val="3"/>
        </w:numPr>
        <w:tabs>
          <w:tab w:pos="718" w:val="left" w:leader="none"/>
        </w:tabs>
        <w:spacing w:line="240" w:lineRule="auto" w:before="316" w:after="0"/>
        <w:ind w:left="718" w:right="0" w:hanging="358"/>
        <w:jc w:val="left"/>
        <w:rPr>
          <w:sz w:val="28"/>
        </w:rPr>
      </w:pPr>
      <w:r>
        <w:rPr>
          <w:sz w:val="28"/>
        </w:rPr>
        <w:t>Homicidio</w:t>
      </w:r>
      <w:r>
        <w:rPr>
          <w:spacing w:val="-18"/>
          <w:sz w:val="28"/>
        </w:rPr>
        <w:t> </w:t>
      </w:r>
      <w:r>
        <w:rPr>
          <w:spacing w:val="-2"/>
          <w:sz w:val="28"/>
        </w:rPr>
        <w:t>intencional.</w:t>
      </w:r>
    </w:p>
    <w:p>
      <w:pPr>
        <w:pStyle w:val="BodyText"/>
        <w:spacing w:before="23"/>
        <w:ind w:left="0"/>
        <w:jc w:val="left"/>
      </w:pPr>
    </w:p>
    <w:p>
      <w:pPr>
        <w:pStyle w:val="ListParagraph"/>
        <w:numPr>
          <w:ilvl w:val="0"/>
          <w:numId w:val="3"/>
        </w:numPr>
        <w:tabs>
          <w:tab w:pos="718" w:val="left" w:leader="none"/>
          <w:tab w:pos="720" w:val="left" w:leader="none"/>
        </w:tabs>
        <w:spacing w:line="240" w:lineRule="auto" w:before="0" w:after="0"/>
        <w:ind w:left="720" w:right="360" w:hanging="360"/>
        <w:jc w:val="both"/>
        <w:rPr>
          <w:sz w:val="28"/>
        </w:rPr>
      </w:pPr>
      <w:r>
        <w:rPr>
          <w:sz w:val="28"/>
        </w:rPr>
        <w:t>Tráfico de estupefacientes y sustancias psicotrópicas, con pena mínima aplicable superior a 9 años de prisión.</w:t>
      </w:r>
    </w:p>
    <w:p>
      <w:pPr>
        <w:pStyle w:val="BodyText"/>
        <w:ind w:left="0"/>
        <w:jc w:val="left"/>
      </w:pPr>
    </w:p>
    <w:p>
      <w:pPr>
        <w:pStyle w:val="ListParagraph"/>
        <w:numPr>
          <w:ilvl w:val="0"/>
          <w:numId w:val="3"/>
        </w:numPr>
        <w:tabs>
          <w:tab w:pos="718" w:val="left" w:leader="none"/>
        </w:tabs>
        <w:spacing w:line="240" w:lineRule="auto" w:before="0" w:after="0"/>
        <w:ind w:left="718" w:right="0" w:hanging="358"/>
        <w:jc w:val="left"/>
        <w:rPr>
          <w:sz w:val="28"/>
        </w:rPr>
      </w:pPr>
      <w:r>
        <w:rPr>
          <w:sz w:val="28"/>
        </w:rPr>
        <w:t>Delitos</w:t>
      </w:r>
      <w:r>
        <w:rPr>
          <w:spacing w:val="-7"/>
          <w:sz w:val="28"/>
        </w:rPr>
        <w:t> </w:t>
      </w:r>
      <w:r>
        <w:rPr>
          <w:sz w:val="28"/>
        </w:rPr>
        <w:t>contra</w:t>
      </w:r>
      <w:r>
        <w:rPr>
          <w:spacing w:val="-12"/>
          <w:sz w:val="28"/>
        </w:rPr>
        <w:t> </w:t>
      </w:r>
      <w:r>
        <w:rPr>
          <w:sz w:val="28"/>
        </w:rPr>
        <w:t>el</w:t>
      </w:r>
      <w:r>
        <w:rPr>
          <w:spacing w:val="-6"/>
          <w:sz w:val="28"/>
        </w:rPr>
        <w:t> </w:t>
      </w:r>
      <w:r>
        <w:rPr>
          <w:sz w:val="28"/>
        </w:rPr>
        <w:t>patrimonio</w:t>
      </w:r>
      <w:r>
        <w:rPr>
          <w:spacing w:val="-11"/>
          <w:sz w:val="28"/>
        </w:rPr>
        <w:t> </w:t>
      </w:r>
      <w:r>
        <w:rPr>
          <w:spacing w:val="-2"/>
          <w:sz w:val="28"/>
        </w:rPr>
        <w:t>público.</w:t>
      </w:r>
    </w:p>
    <w:p>
      <w:pPr>
        <w:pStyle w:val="BodyText"/>
        <w:spacing w:before="4"/>
        <w:ind w:left="0"/>
        <w:jc w:val="left"/>
      </w:pPr>
    </w:p>
    <w:p>
      <w:pPr>
        <w:pStyle w:val="BodyText"/>
        <w:ind w:right="354" w:firstLine="5704"/>
      </w:pPr>
      <w:r>
        <w:rPr>
          <w:rFonts w:ascii="Arial" w:hAnsi="Arial"/>
          <w:b/>
          <w:i/>
        </w:rPr>
        <w:t>Extinción</w:t>
      </w:r>
      <w:r>
        <w:rPr>
          <w:rFonts w:ascii="Arial" w:hAnsi="Arial"/>
          <w:b/>
          <w:i/>
          <w:spacing w:val="-12"/>
        </w:rPr>
        <w:t> </w:t>
      </w:r>
      <w:r>
        <w:rPr>
          <w:rFonts w:ascii="Arial" w:hAnsi="Arial"/>
          <w:b/>
          <w:i/>
        </w:rPr>
        <w:t>de</w:t>
      </w:r>
      <w:r>
        <w:rPr>
          <w:rFonts w:ascii="Arial" w:hAnsi="Arial"/>
          <w:b/>
          <w:i/>
          <w:spacing w:val="-12"/>
        </w:rPr>
        <w:t> </w:t>
      </w:r>
      <w:r>
        <w:rPr>
          <w:rFonts w:ascii="Arial" w:hAnsi="Arial"/>
          <w:b/>
          <w:i/>
        </w:rPr>
        <w:t>pleno</w:t>
      </w:r>
      <w:r>
        <w:rPr>
          <w:rFonts w:ascii="Arial" w:hAnsi="Arial"/>
          <w:b/>
          <w:i/>
          <w:spacing w:val="-12"/>
        </w:rPr>
        <w:t> </w:t>
      </w:r>
      <w:r>
        <w:rPr>
          <w:rFonts w:ascii="Arial" w:hAnsi="Arial"/>
          <w:b/>
          <w:i/>
        </w:rPr>
        <w:t>derecho </w:t>
      </w:r>
      <w:r>
        <w:rPr>
          <w:rFonts w:ascii="Arial" w:hAnsi="Arial"/>
          <w:b/>
        </w:rPr>
        <w:t>Artículo 8. </w:t>
      </w:r>
      <w:r>
        <w:rPr/>
        <w:t>Con la amnistía regulada en esta Ley, se extinguen de pleno derecho todas las acciones penales, administrativas, disciplinarias o civiles que se encuentren en trámites judiciales y procedimientos, incluyendo solicitudes de extradición, relacionadas exclusivamente con los hechos objeto de la amnistía. En consecuencia, cesará cualquier medida de coerción personal y las medidas alternativas a la privación de libertad que hayan sido acordadas.</w:t>
      </w:r>
    </w:p>
    <w:p>
      <w:pPr>
        <w:pStyle w:val="BodyText"/>
        <w:spacing w:before="319"/>
        <w:ind w:right="376"/>
      </w:pPr>
      <w:r>
        <w:rPr/>
        <w:t>Los efectos de la presente amnistía se extienden a</w:t>
      </w:r>
      <w:r>
        <w:rPr>
          <w:spacing w:val="-2"/>
        </w:rPr>
        <w:t> </w:t>
      </w:r>
      <w:r>
        <w:rPr/>
        <w:t>los autores y</w:t>
      </w:r>
      <w:r>
        <w:rPr>
          <w:spacing w:val="-1"/>
        </w:rPr>
        <w:t> </w:t>
      </w:r>
      <w:r>
        <w:rPr/>
        <w:t>partícipes de los delitos a que hace referencia esta Ley.</w:t>
      </w:r>
    </w:p>
    <w:p>
      <w:pPr>
        <w:pStyle w:val="BodyText"/>
        <w:spacing w:before="4"/>
        <w:ind w:left="0"/>
        <w:jc w:val="left"/>
      </w:pPr>
    </w:p>
    <w:p>
      <w:pPr>
        <w:pStyle w:val="BodyText"/>
        <w:ind w:right="354" w:firstLine="6381"/>
      </w:pPr>
      <w:r>
        <w:rPr>
          <w:rFonts w:ascii="Arial" w:hAnsi="Arial"/>
          <w:b/>
          <w:i/>
        </w:rPr>
        <w:t>Procedimiento</w:t>
      </w:r>
      <w:r>
        <w:rPr>
          <w:rFonts w:ascii="Arial" w:hAnsi="Arial"/>
          <w:b/>
          <w:i/>
          <w:spacing w:val="-20"/>
        </w:rPr>
        <w:t> </w:t>
      </w:r>
      <w:r>
        <w:rPr>
          <w:rFonts w:ascii="Arial" w:hAnsi="Arial"/>
          <w:b/>
          <w:i/>
        </w:rPr>
        <w:t>judicial </w:t>
      </w:r>
      <w:r>
        <w:rPr>
          <w:rFonts w:ascii="Arial" w:hAnsi="Arial"/>
          <w:b/>
        </w:rPr>
        <w:t>Artículo 9. </w:t>
      </w:r>
      <w:r>
        <w:rPr/>
        <w:t>El Tribunal de control o juicio competente, a solicitud del Ministerio Público o de la persona procesada o condenada, verificará los supuestos de la amnistía en cada caso y decretará el sobreseimiento de todos los procesos en curso o la revisión de las sentencias firmes para su anulación mediante sentencias de reemplazo.</w:t>
      </w:r>
    </w:p>
    <w:p>
      <w:pPr>
        <w:pStyle w:val="BodyText"/>
        <w:spacing w:before="320"/>
        <w:ind w:right="361"/>
      </w:pPr>
      <w:r>
        <w:rPr/>
        <w:t>Asimismo, dictará todas las medidas o providencias necesarias para asegurar</w:t>
      </w:r>
      <w:r>
        <w:rPr>
          <w:spacing w:val="-12"/>
        </w:rPr>
        <w:t> </w:t>
      </w:r>
      <w:r>
        <w:rPr/>
        <w:t>el</w:t>
      </w:r>
      <w:r>
        <w:rPr>
          <w:spacing w:val="-10"/>
        </w:rPr>
        <w:t> </w:t>
      </w:r>
      <w:r>
        <w:rPr/>
        <w:t>cumplimiento</w:t>
      </w:r>
      <w:r>
        <w:rPr>
          <w:spacing w:val="-12"/>
        </w:rPr>
        <w:t> </w:t>
      </w:r>
      <w:r>
        <w:rPr/>
        <w:t>de</w:t>
      </w:r>
      <w:r>
        <w:rPr>
          <w:spacing w:val="-12"/>
        </w:rPr>
        <w:t> </w:t>
      </w:r>
      <w:r>
        <w:rPr/>
        <w:t>esta</w:t>
      </w:r>
      <w:r>
        <w:rPr>
          <w:spacing w:val="-12"/>
        </w:rPr>
        <w:t> </w:t>
      </w:r>
      <w:r>
        <w:rPr/>
        <w:t>Ley,</w:t>
      </w:r>
      <w:r>
        <w:rPr>
          <w:spacing w:val="-11"/>
        </w:rPr>
        <w:t> </w:t>
      </w:r>
      <w:r>
        <w:rPr/>
        <w:t>incluyendo</w:t>
      </w:r>
      <w:r>
        <w:rPr>
          <w:spacing w:val="-11"/>
        </w:rPr>
        <w:t> </w:t>
      </w:r>
      <w:r>
        <w:rPr/>
        <w:t>el</w:t>
      </w:r>
      <w:r>
        <w:rPr>
          <w:spacing w:val="-14"/>
        </w:rPr>
        <w:t> </w:t>
      </w:r>
      <w:r>
        <w:rPr/>
        <w:t>cese</w:t>
      </w:r>
      <w:r>
        <w:rPr>
          <w:spacing w:val="-12"/>
        </w:rPr>
        <w:t> </w:t>
      </w:r>
      <w:r>
        <w:rPr/>
        <w:t>de</w:t>
      </w:r>
      <w:r>
        <w:rPr>
          <w:spacing w:val="-16"/>
        </w:rPr>
        <w:t> </w:t>
      </w:r>
      <w:r>
        <w:rPr/>
        <w:t>las</w:t>
      </w:r>
      <w:r>
        <w:rPr>
          <w:spacing w:val="-15"/>
        </w:rPr>
        <w:t> </w:t>
      </w:r>
      <w:r>
        <w:rPr/>
        <w:t>medidas</w:t>
      </w:r>
      <w:r>
        <w:rPr>
          <w:spacing w:val="-11"/>
        </w:rPr>
        <w:t> </w:t>
      </w:r>
      <w:r>
        <w:rPr/>
        <w:t>de coerción personal y de las medidas alternativas a la privación de libertad que hayan sido acordadas.</w:t>
      </w:r>
    </w:p>
    <w:p>
      <w:pPr>
        <w:pStyle w:val="BodyText"/>
        <w:spacing w:after="0"/>
        <w:sectPr>
          <w:pgSz w:w="12240" w:h="15840"/>
          <w:pgMar w:top="1680" w:bottom="280" w:left="1080" w:right="1080"/>
        </w:sectPr>
      </w:pPr>
    </w:p>
    <w:p>
      <w:pPr>
        <w:spacing w:line="240" w:lineRule="auto" w:before="260"/>
        <w:ind w:left="360" w:right="363" w:firstLine="3524"/>
        <w:jc w:val="both"/>
        <w:rPr>
          <w:sz w:val="28"/>
        </w:rPr>
      </w:pPr>
      <w:r>
        <w:rPr>
          <w:rFonts w:ascii="Arial" w:hAnsi="Arial"/>
          <w:b/>
          <w:i/>
          <w:sz w:val="28"/>
        </w:rPr>
        <w:t>Averiguaciones</w:t>
      </w:r>
      <w:r>
        <w:rPr>
          <w:rFonts w:ascii="Arial" w:hAnsi="Arial"/>
          <w:b/>
          <w:i/>
          <w:spacing w:val="-14"/>
          <w:sz w:val="28"/>
        </w:rPr>
        <w:t> </w:t>
      </w:r>
      <w:r>
        <w:rPr>
          <w:rFonts w:ascii="Arial" w:hAnsi="Arial"/>
          <w:b/>
          <w:i/>
          <w:sz w:val="28"/>
        </w:rPr>
        <w:t>y</w:t>
      </w:r>
      <w:r>
        <w:rPr>
          <w:rFonts w:ascii="Arial" w:hAnsi="Arial"/>
          <w:b/>
          <w:i/>
          <w:spacing w:val="-15"/>
          <w:sz w:val="28"/>
        </w:rPr>
        <w:t> </w:t>
      </w:r>
      <w:r>
        <w:rPr>
          <w:rFonts w:ascii="Arial" w:hAnsi="Arial"/>
          <w:b/>
          <w:i/>
          <w:sz w:val="28"/>
        </w:rPr>
        <w:t>procedimientos</w:t>
      </w:r>
      <w:r>
        <w:rPr>
          <w:rFonts w:ascii="Arial" w:hAnsi="Arial"/>
          <w:b/>
          <w:i/>
          <w:spacing w:val="-14"/>
          <w:sz w:val="28"/>
        </w:rPr>
        <w:t> </w:t>
      </w:r>
      <w:r>
        <w:rPr>
          <w:rFonts w:ascii="Arial" w:hAnsi="Arial"/>
          <w:b/>
          <w:i/>
          <w:sz w:val="28"/>
        </w:rPr>
        <w:t>policiales </w:t>
      </w:r>
      <w:r>
        <w:rPr>
          <w:rFonts w:ascii="Arial" w:hAnsi="Arial"/>
          <w:b/>
          <w:sz w:val="28"/>
        </w:rPr>
        <w:t>Artículo 10. </w:t>
      </w:r>
      <w:r>
        <w:rPr>
          <w:sz w:val="28"/>
        </w:rPr>
        <w:t>Los órganos de</w:t>
      </w:r>
      <w:r>
        <w:rPr>
          <w:spacing w:val="-1"/>
          <w:sz w:val="28"/>
        </w:rPr>
        <w:t> </w:t>
      </w:r>
      <w:r>
        <w:rPr>
          <w:sz w:val="28"/>
        </w:rPr>
        <w:t>policía y de</w:t>
      </w:r>
      <w:r>
        <w:rPr>
          <w:spacing w:val="-1"/>
          <w:sz w:val="28"/>
        </w:rPr>
        <w:t> </w:t>
      </w:r>
      <w:r>
        <w:rPr>
          <w:sz w:val="28"/>
        </w:rPr>
        <w:t>policía de</w:t>
      </w:r>
      <w:r>
        <w:rPr>
          <w:spacing w:val="-1"/>
          <w:sz w:val="28"/>
        </w:rPr>
        <w:t> </w:t>
      </w:r>
      <w:r>
        <w:rPr>
          <w:sz w:val="28"/>
        </w:rPr>
        <w:t>investigación, así</w:t>
      </w:r>
      <w:r>
        <w:rPr>
          <w:spacing w:val="-1"/>
          <w:sz w:val="28"/>
        </w:rPr>
        <w:t> </w:t>
      </w:r>
      <w:r>
        <w:rPr>
          <w:sz w:val="28"/>
        </w:rPr>
        <w:t>como las autoridades militares, darán por finalizadas las averiguaciones y procedimientos relativos a los hechos a que se refiere esta Ley.</w:t>
      </w:r>
    </w:p>
    <w:p>
      <w:pPr>
        <w:pStyle w:val="BodyText"/>
        <w:spacing w:before="3"/>
        <w:ind w:left="0"/>
        <w:jc w:val="left"/>
      </w:pPr>
    </w:p>
    <w:p>
      <w:pPr>
        <w:pStyle w:val="BodyText"/>
        <w:ind w:right="360" w:firstLine="5968"/>
      </w:pPr>
      <w:r>
        <w:rPr>
          <w:rFonts w:ascii="Arial" w:hAnsi="Arial"/>
          <w:b/>
          <w:i/>
        </w:rPr>
        <w:t>Registros</w:t>
      </w:r>
      <w:r>
        <w:rPr>
          <w:rFonts w:ascii="Arial" w:hAnsi="Arial"/>
          <w:b/>
          <w:i/>
          <w:spacing w:val="-20"/>
        </w:rPr>
        <w:t> </w:t>
      </w:r>
      <w:r>
        <w:rPr>
          <w:rFonts w:ascii="Arial" w:hAnsi="Arial"/>
          <w:b/>
          <w:i/>
        </w:rPr>
        <w:t>y</w:t>
      </w:r>
      <w:r>
        <w:rPr>
          <w:rFonts w:ascii="Arial" w:hAnsi="Arial"/>
          <w:b/>
          <w:i/>
          <w:spacing w:val="-19"/>
        </w:rPr>
        <w:t> </w:t>
      </w:r>
      <w:r>
        <w:rPr>
          <w:rFonts w:ascii="Arial" w:hAnsi="Arial"/>
          <w:b/>
          <w:i/>
        </w:rPr>
        <w:t>antecedentes </w:t>
      </w:r>
      <w:r>
        <w:rPr>
          <w:rFonts w:ascii="Arial" w:hAnsi="Arial"/>
          <w:b/>
        </w:rPr>
        <w:t>Artículo 11. </w:t>
      </w:r>
      <w:r>
        <w:rPr/>
        <w:t>Los organismos administrativos, policiales o militares en los cuales reposen registros o antecedentes sobre personas beneficiadas por la</w:t>
      </w:r>
      <w:r>
        <w:rPr>
          <w:spacing w:val="-20"/>
        </w:rPr>
        <w:t> </w:t>
      </w:r>
      <w:r>
        <w:rPr/>
        <w:t>amnistía</w:t>
      </w:r>
      <w:r>
        <w:rPr>
          <w:spacing w:val="-19"/>
        </w:rPr>
        <w:t> </w:t>
      </w:r>
      <w:r>
        <w:rPr/>
        <w:t>objeto</w:t>
      </w:r>
      <w:r>
        <w:rPr>
          <w:spacing w:val="-20"/>
        </w:rPr>
        <w:t> </w:t>
      </w:r>
      <w:r>
        <w:rPr/>
        <w:t>de</w:t>
      </w:r>
      <w:r>
        <w:rPr>
          <w:spacing w:val="-19"/>
        </w:rPr>
        <w:t> </w:t>
      </w:r>
      <w:r>
        <w:rPr/>
        <w:t>esta</w:t>
      </w:r>
      <w:r>
        <w:rPr>
          <w:spacing w:val="-20"/>
        </w:rPr>
        <w:t> </w:t>
      </w:r>
      <w:r>
        <w:rPr/>
        <w:t>Ley,</w:t>
      </w:r>
      <w:r>
        <w:rPr>
          <w:spacing w:val="-19"/>
        </w:rPr>
        <w:t> </w:t>
      </w:r>
      <w:r>
        <w:rPr/>
        <w:t>deberán</w:t>
      </w:r>
      <w:r>
        <w:rPr>
          <w:spacing w:val="-20"/>
        </w:rPr>
        <w:t> </w:t>
      </w:r>
      <w:r>
        <w:rPr/>
        <w:t>eliminar</w:t>
      </w:r>
      <w:r>
        <w:rPr>
          <w:spacing w:val="-19"/>
        </w:rPr>
        <w:t> </w:t>
      </w:r>
      <w:r>
        <w:rPr/>
        <w:t>de</w:t>
      </w:r>
      <w:r>
        <w:rPr>
          <w:spacing w:val="-20"/>
        </w:rPr>
        <w:t> </w:t>
      </w:r>
      <w:r>
        <w:rPr/>
        <w:t>sus</w:t>
      </w:r>
      <w:r>
        <w:rPr>
          <w:spacing w:val="-19"/>
        </w:rPr>
        <w:t> </w:t>
      </w:r>
      <w:r>
        <w:rPr/>
        <w:t>archivos</w:t>
      </w:r>
      <w:r>
        <w:rPr>
          <w:spacing w:val="-19"/>
        </w:rPr>
        <w:t> </w:t>
      </w:r>
      <w:r>
        <w:rPr/>
        <w:t>los</w:t>
      </w:r>
      <w:r>
        <w:rPr>
          <w:spacing w:val="-20"/>
        </w:rPr>
        <w:t> </w:t>
      </w:r>
      <w:r>
        <w:rPr/>
        <w:t>registros y antecedentes relacionados con ellas, de oficio o a solicitud del Ministerio Público o de la persona interesada.</w:t>
      </w:r>
    </w:p>
    <w:p>
      <w:pPr>
        <w:spacing w:line="240" w:lineRule="auto" w:before="321"/>
        <w:ind w:left="360" w:right="364" w:firstLine="4086"/>
        <w:jc w:val="both"/>
        <w:rPr>
          <w:sz w:val="28"/>
        </w:rPr>
      </w:pPr>
      <w:r>
        <w:rPr>
          <w:rFonts w:ascii="Arial" w:hAnsi="Arial"/>
          <w:b/>
          <w:i/>
          <w:sz w:val="28"/>
        </w:rPr>
        <w:t>Seguimiento</w:t>
      </w:r>
      <w:r>
        <w:rPr>
          <w:rFonts w:ascii="Arial" w:hAnsi="Arial"/>
          <w:b/>
          <w:i/>
          <w:spacing w:val="-8"/>
          <w:sz w:val="28"/>
        </w:rPr>
        <w:t> </w:t>
      </w:r>
      <w:r>
        <w:rPr>
          <w:rFonts w:ascii="Arial" w:hAnsi="Arial"/>
          <w:b/>
          <w:i/>
          <w:sz w:val="28"/>
        </w:rPr>
        <w:t>a</w:t>
      </w:r>
      <w:r>
        <w:rPr>
          <w:rFonts w:ascii="Arial" w:hAnsi="Arial"/>
          <w:b/>
          <w:i/>
          <w:spacing w:val="-11"/>
          <w:sz w:val="28"/>
        </w:rPr>
        <w:t> </w:t>
      </w:r>
      <w:r>
        <w:rPr>
          <w:rFonts w:ascii="Arial" w:hAnsi="Arial"/>
          <w:b/>
          <w:i/>
          <w:sz w:val="28"/>
        </w:rPr>
        <w:t>la</w:t>
      </w:r>
      <w:r>
        <w:rPr>
          <w:rFonts w:ascii="Arial" w:hAnsi="Arial"/>
          <w:b/>
          <w:i/>
          <w:spacing w:val="-7"/>
          <w:sz w:val="28"/>
        </w:rPr>
        <w:t> </w:t>
      </w:r>
      <w:r>
        <w:rPr>
          <w:rFonts w:ascii="Arial" w:hAnsi="Arial"/>
          <w:b/>
          <w:i/>
          <w:sz w:val="28"/>
        </w:rPr>
        <w:t>aplicación</w:t>
      </w:r>
      <w:r>
        <w:rPr>
          <w:rFonts w:ascii="Arial" w:hAnsi="Arial"/>
          <w:b/>
          <w:i/>
          <w:spacing w:val="-8"/>
          <w:sz w:val="28"/>
        </w:rPr>
        <w:t> </w:t>
      </w:r>
      <w:r>
        <w:rPr>
          <w:rFonts w:ascii="Arial" w:hAnsi="Arial"/>
          <w:b/>
          <w:i/>
          <w:sz w:val="28"/>
        </w:rPr>
        <w:t>de</w:t>
      </w:r>
      <w:r>
        <w:rPr>
          <w:rFonts w:ascii="Arial" w:hAnsi="Arial"/>
          <w:b/>
          <w:i/>
          <w:spacing w:val="-7"/>
          <w:sz w:val="28"/>
        </w:rPr>
        <w:t> </w:t>
      </w:r>
      <w:r>
        <w:rPr>
          <w:rFonts w:ascii="Arial" w:hAnsi="Arial"/>
          <w:b/>
          <w:i/>
          <w:sz w:val="28"/>
        </w:rPr>
        <w:t>esta</w:t>
      </w:r>
      <w:r>
        <w:rPr>
          <w:rFonts w:ascii="Arial" w:hAnsi="Arial"/>
          <w:b/>
          <w:i/>
          <w:spacing w:val="-7"/>
          <w:sz w:val="28"/>
        </w:rPr>
        <w:t> </w:t>
      </w:r>
      <w:r>
        <w:rPr>
          <w:rFonts w:ascii="Arial" w:hAnsi="Arial"/>
          <w:b/>
          <w:i/>
          <w:sz w:val="28"/>
        </w:rPr>
        <w:t>Ley </w:t>
      </w:r>
      <w:r>
        <w:rPr>
          <w:rFonts w:ascii="Arial" w:hAnsi="Arial"/>
          <w:b/>
          <w:sz w:val="28"/>
        </w:rPr>
        <w:t>Artículo 12. </w:t>
      </w:r>
      <w:r>
        <w:rPr>
          <w:sz w:val="28"/>
        </w:rPr>
        <w:t>El Ejecutivo Nacional, por órgano del Ministerio con competencia en materia de Justicia, desarrollará e implementará mecanismos para asegurar el cumplimiento de esta Ley.</w:t>
      </w:r>
    </w:p>
    <w:p>
      <w:pPr>
        <w:pStyle w:val="BodyText"/>
        <w:spacing w:line="242" w:lineRule="auto" w:before="320"/>
        <w:ind w:right="359" w:firstLine="8210"/>
      </w:pPr>
      <w:r>
        <w:rPr>
          <w:rFonts w:ascii="Arial" w:hAnsi="Arial"/>
          <w:b/>
          <w:i/>
          <w:spacing w:val="-2"/>
        </w:rPr>
        <w:t>Vigencia</w:t>
      </w:r>
      <w:r>
        <w:rPr>
          <w:rFonts w:ascii="Arial" w:hAnsi="Arial"/>
          <w:b/>
          <w:i/>
          <w:spacing w:val="-2"/>
        </w:rPr>
        <w:t> </w:t>
      </w:r>
      <w:r>
        <w:rPr>
          <w:rFonts w:ascii="Arial" w:hAnsi="Arial"/>
          <w:b/>
        </w:rPr>
        <w:t>Artículo 13. </w:t>
      </w:r>
      <w:r>
        <w:rPr/>
        <w:t>Esta Ley entrará en vigencia a partir de la fecha de su publicación en la Gaceta Oficial de la República Bolivariana de Venezuela.</w:t>
      </w:r>
    </w:p>
    <w:sectPr>
      <w:pgSz w:w="12240" w:h="15840"/>
      <w:pgMar w:top="1820" w:bottom="280" w:left="1080" w:right="10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1"/>
      <w:numFmt w:val="decimal"/>
      <w:lvlText w:val="%1."/>
      <w:lvlJc w:val="left"/>
      <w:pPr>
        <w:ind w:left="720" w:hanging="360"/>
        <w:jc w:val="left"/>
      </w:pPr>
      <w:rPr>
        <w:rFonts w:hint="default" w:ascii="Arial MT" w:hAnsi="Arial MT" w:eastAsia="Arial MT" w:cs="Arial MT"/>
        <w:b w:val="0"/>
        <w:bCs w:val="0"/>
        <w:i w:val="0"/>
        <w:iCs w:val="0"/>
        <w:spacing w:val="-2"/>
        <w:w w:val="99"/>
        <w:sz w:val="28"/>
        <w:szCs w:val="28"/>
        <w:lang w:val="es-ES" w:eastAsia="en-US" w:bidi="ar-SA"/>
      </w:rPr>
    </w:lvl>
    <w:lvl w:ilvl="1">
      <w:start w:val="0"/>
      <w:numFmt w:val="bullet"/>
      <w:lvlText w:val="•"/>
      <w:lvlJc w:val="left"/>
      <w:pPr>
        <w:ind w:left="1656" w:hanging="360"/>
      </w:pPr>
      <w:rPr>
        <w:rFonts w:hint="default"/>
        <w:lang w:val="es-ES" w:eastAsia="en-US" w:bidi="ar-SA"/>
      </w:rPr>
    </w:lvl>
    <w:lvl w:ilvl="2">
      <w:start w:val="0"/>
      <w:numFmt w:val="bullet"/>
      <w:lvlText w:val="•"/>
      <w:lvlJc w:val="left"/>
      <w:pPr>
        <w:ind w:left="2592" w:hanging="360"/>
      </w:pPr>
      <w:rPr>
        <w:rFonts w:hint="default"/>
        <w:lang w:val="es-ES" w:eastAsia="en-US" w:bidi="ar-SA"/>
      </w:rPr>
    </w:lvl>
    <w:lvl w:ilvl="3">
      <w:start w:val="0"/>
      <w:numFmt w:val="bullet"/>
      <w:lvlText w:val="•"/>
      <w:lvlJc w:val="left"/>
      <w:pPr>
        <w:ind w:left="3528" w:hanging="360"/>
      </w:pPr>
      <w:rPr>
        <w:rFonts w:hint="default"/>
        <w:lang w:val="es-ES" w:eastAsia="en-US" w:bidi="ar-SA"/>
      </w:rPr>
    </w:lvl>
    <w:lvl w:ilvl="4">
      <w:start w:val="0"/>
      <w:numFmt w:val="bullet"/>
      <w:lvlText w:val="•"/>
      <w:lvlJc w:val="left"/>
      <w:pPr>
        <w:ind w:left="4464" w:hanging="360"/>
      </w:pPr>
      <w:rPr>
        <w:rFonts w:hint="default"/>
        <w:lang w:val="es-ES" w:eastAsia="en-US" w:bidi="ar-SA"/>
      </w:rPr>
    </w:lvl>
    <w:lvl w:ilvl="5">
      <w:start w:val="0"/>
      <w:numFmt w:val="bullet"/>
      <w:lvlText w:val="•"/>
      <w:lvlJc w:val="left"/>
      <w:pPr>
        <w:ind w:left="5400" w:hanging="360"/>
      </w:pPr>
      <w:rPr>
        <w:rFonts w:hint="default"/>
        <w:lang w:val="es-ES" w:eastAsia="en-US" w:bidi="ar-SA"/>
      </w:rPr>
    </w:lvl>
    <w:lvl w:ilvl="6">
      <w:start w:val="0"/>
      <w:numFmt w:val="bullet"/>
      <w:lvlText w:val="•"/>
      <w:lvlJc w:val="left"/>
      <w:pPr>
        <w:ind w:left="6336" w:hanging="360"/>
      </w:pPr>
      <w:rPr>
        <w:rFonts w:hint="default"/>
        <w:lang w:val="es-ES" w:eastAsia="en-US" w:bidi="ar-SA"/>
      </w:rPr>
    </w:lvl>
    <w:lvl w:ilvl="7">
      <w:start w:val="0"/>
      <w:numFmt w:val="bullet"/>
      <w:lvlText w:val="•"/>
      <w:lvlJc w:val="left"/>
      <w:pPr>
        <w:ind w:left="7272" w:hanging="360"/>
      </w:pPr>
      <w:rPr>
        <w:rFonts w:hint="default"/>
        <w:lang w:val="es-ES" w:eastAsia="en-US" w:bidi="ar-SA"/>
      </w:rPr>
    </w:lvl>
    <w:lvl w:ilvl="8">
      <w:start w:val="0"/>
      <w:numFmt w:val="bullet"/>
      <w:lvlText w:val="•"/>
      <w:lvlJc w:val="left"/>
      <w:pPr>
        <w:ind w:left="8208" w:hanging="360"/>
      </w:pPr>
      <w:rPr>
        <w:rFonts w:hint="default"/>
        <w:lang w:val="es-ES" w:eastAsia="en-US" w:bidi="ar-SA"/>
      </w:rPr>
    </w:lvl>
  </w:abstractNum>
  <w:abstractNum w:abstractNumId="1">
    <w:multiLevelType w:val="hybridMultilevel"/>
    <w:lvl w:ilvl="0">
      <w:start w:val="1"/>
      <w:numFmt w:val="decimal"/>
      <w:lvlText w:val="%1."/>
      <w:lvlJc w:val="left"/>
      <w:pPr>
        <w:ind w:left="811" w:hanging="452"/>
        <w:jc w:val="left"/>
      </w:pPr>
      <w:rPr>
        <w:rFonts w:hint="default" w:ascii="Arial MT" w:hAnsi="Arial MT" w:eastAsia="Arial MT" w:cs="Arial MT"/>
        <w:b w:val="0"/>
        <w:bCs w:val="0"/>
        <w:i w:val="0"/>
        <w:iCs w:val="0"/>
        <w:spacing w:val="-2"/>
        <w:w w:val="99"/>
        <w:sz w:val="28"/>
        <w:szCs w:val="28"/>
        <w:lang w:val="es-ES" w:eastAsia="en-US" w:bidi="ar-SA"/>
      </w:rPr>
    </w:lvl>
    <w:lvl w:ilvl="1">
      <w:start w:val="0"/>
      <w:numFmt w:val="bullet"/>
      <w:lvlText w:val="•"/>
      <w:lvlJc w:val="left"/>
      <w:pPr>
        <w:ind w:left="1746" w:hanging="452"/>
      </w:pPr>
      <w:rPr>
        <w:rFonts w:hint="default"/>
        <w:lang w:val="es-ES" w:eastAsia="en-US" w:bidi="ar-SA"/>
      </w:rPr>
    </w:lvl>
    <w:lvl w:ilvl="2">
      <w:start w:val="0"/>
      <w:numFmt w:val="bullet"/>
      <w:lvlText w:val="•"/>
      <w:lvlJc w:val="left"/>
      <w:pPr>
        <w:ind w:left="2672" w:hanging="452"/>
      </w:pPr>
      <w:rPr>
        <w:rFonts w:hint="default"/>
        <w:lang w:val="es-ES" w:eastAsia="en-US" w:bidi="ar-SA"/>
      </w:rPr>
    </w:lvl>
    <w:lvl w:ilvl="3">
      <w:start w:val="0"/>
      <w:numFmt w:val="bullet"/>
      <w:lvlText w:val="•"/>
      <w:lvlJc w:val="left"/>
      <w:pPr>
        <w:ind w:left="3598" w:hanging="452"/>
      </w:pPr>
      <w:rPr>
        <w:rFonts w:hint="default"/>
        <w:lang w:val="es-ES" w:eastAsia="en-US" w:bidi="ar-SA"/>
      </w:rPr>
    </w:lvl>
    <w:lvl w:ilvl="4">
      <w:start w:val="0"/>
      <w:numFmt w:val="bullet"/>
      <w:lvlText w:val="•"/>
      <w:lvlJc w:val="left"/>
      <w:pPr>
        <w:ind w:left="4524" w:hanging="452"/>
      </w:pPr>
      <w:rPr>
        <w:rFonts w:hint="default"/>
        <w:lang w:val="es-ES" w:eastAsia="en-US" w:bidi="ar-SA"/>
      </w:rPr>
    </w:lvl>
    <w:lvl w:ilvl="5">
      <w:start w:val="0"/>
      <w:numFmt w:val="bullet"/>
      <w:lvlText w:val="•"/>
      <w:lvlJc w:val="left"/>
      <w:pPr>
        <w:ind w:left="5450" w:hanging="452"/>
      </w:pPr>
      <w:rPr>
        <w:rFonts w:hint="default"/>
        <w:lang w:val="es-ES" w:eastAsia="en-US" w:bidi="ar-SA"/>
      </w:rPr>
    </w:lvl>
    <w:lvl w:ilvl="6">
      <w:start w:val="0"/>
      <w:numFmt w:val="bullet"/>
      <w:lvlText w:val="•"/>
      <w:lvlJc w:val="left"/>
      <w:pPr>
        <w:ind w:left="6376" w:hanging="452"/>
      </w:pPr>
      <w:rPr>
        <w:rFonts w:hint="default"/>
        <w:lang w:val="es-ES" w:eastAsia="en-US" w:bidi="ar-SA"/>
      </w:rPr>
    </w:lvl>
    <w:lvl w:ilvl="7">
      <w:start w:val="0"/>
      <w:numFmt w:val="bullet"/>
      <w:lvlText w:val="•"/>
      <w:lvlJc w:val="left"/>
      <w:pPr>
        <w:ind w:left="7302" w:hanging="452"/>
      </w:pPr>
      <w:rPr>
        <w:rFonts w:hint="default"/>
        <w:lang w:val="es-ES" w:eastAsia="en-US" w:bidi="ar-SA"/>
      </w:rPr>
    </w:lvl>
    <w:lvl w:ilvl="8">
      <w:start w:val="0"/>
      <w:numFmt w:val="bullet"/>
      <w:lvlText w:val="•"/>
      <w:lvlJc w:val="left"/>
      <w:pPr>
        <w:ind w:left="8228" w:hanging="452"/>
      </w:pPr>
      <w:rPr>
        <w:rFonts w:hint="default"/>
        <w:lang w:val="es-ES" w:eastAsia="en-US" w:bidi="ar-SA"/>
      </w:rPr>
    </w:lvl>
  </w:abstractNum>
  <w:abstractNum w:abstractNumId="0">
    <w:multiLevelType w:val="hybridMultilevel"/>
    <w:lvl w:ilvl="0">
      <w:start w:val="1"/>
      <w:numFmt w:val="decimal"/>
      <w:lvlText w:val="%1."/>
      <w:lvlJc w:val="left"/>
      <w:pPr>
        <w:ind w:left="811" w:hanging="461"/>
        <w:jc w:val="left"/>
      </w:pPr>
      <w:rPr>
        <w:rFonts w:hint="default" w:ascii="Arial MT" w:hAnsi="Arial MT" w:eastAsia="Arial MT" w:cs="Arial MT"/>
        <w:b w:val="0"/>
        <w:bCs w:val="0"/>
        <w:i w:val="0"/>
        <w:iCs w:val="0"/>
        <w:spacing w:val="-2"/>
        <w:w w:val="99"/>
        <w:sz w:val="28"/>
        <w:szCs w:val="28"/>
        <w:lang w:val="es-ES" w:eastAsia="en-US" w:bidi="ar-SA"/>
      </w:rPr>
    </w:lvl>
    <w:lvl w:ilvl="1">
      <w:start w:val="0"/>
      <w:numFmt w:val="bullet"/>
      <w:lvlText w:val="•"/>
      <w:lvlJc w:val="left"/>
      <w:pPr>
        <w:ind w:left="1746" w:hanging="461"/>
      </w:pPr>
      <w:rPr>
        <w:rFonts w:hint="default"/>
        <w:lang w:val="es-ES" w:eastAsia="en-US" w:bidi="ar-SA"/>
      </w:rPr>
    </w:lvl>
    <w:lvl w:ilvl="2">
      <w:start w:val="0"/>
      <w:numFmt w:val="bullet"/>
      <w:lvlText w:val="•"/>
      <w:lvlJc w:val="left"/>
      <w:pPr>
        <w:ind w:left="2672" w:hanging="461"/>
      </w:pPr>
      <w:rPr>
        <w:rFonts w:hint="default"/>
        <w:lang w:val="es-ES" w:eastAsia="en-US" w:bidi="ar-SA"/>
      </w:rPr>
    </w:lvl>
    <w:lvl w:ilvl="3">
      <w:start w:val="0"/>
      <w:numFmt w:val="bullet"/>
      <w:lvlText w:val="•"/>
      <w:lvlJc w:val="left"/>
      <w:pPr>
        <w:ind w:left="3598" w:hanging="461"/>
      </w:pPr>
      <w:rPr>
        <w:rFonts w:hint="default"/>
        <w:lang w:val="es-ES" w:eastAsia="en-US" w:bidi="ar-SA"/>
      </w:rPr>
    </w:lvl>
    <w:lvl w:ilvl="4">
      <w:start w:val="0"/>
      <w:numFmt w:val="bullet"/>
      <w:lvlText w:val="•"/>
      <w:lvlJc w:val="left"/>
      <w:pPr>
        <w:ind w:left="4524" w:hanging="461"/>
      </w:pPr>
      <w:rPr>
        <w:rFonts w:hint="default"/>
        <w:lang w:val="es-ES" w:eastAsia="en-US" w:bidi="ar-SA"/>
      </w:rPr>
    </w:lvl>
    <w:lvl w:ilvl="5">
      <w:start w:val="0"/>
      <w:numFmt w:val="bullet"/>
      <w:lvlText w:val="•"/>
      <w:lvlJc w:val="left"/>
      <w:pPr>
        <w:ind w:left="5450" w:hanging="461"/>
      </w:pPr>
      <w:rPr>
        <w:rFonts w:hint="default"/>
        <w:lang w:val="es-ES" w:eastAsia="en-US" w:bidi="ar-SA"/>
      </w:rPr>
    </w:lvl>
    <w:lvl w:ilvl="6">
      <w:start w:val="0"/>
      <w:numFmt w:val="bullet"/>
      <w:lvlText w:val="•"/>
      <w:lvlJc w:val="left"/>
      <w:pPr>
        <w:ind w:left="6376" w:hanging="461"/>
      </w:pPr>
      <w:rPr>
        <w:rFonts w:hint="default"/>
        <w:lang w:val="es-ES" w:eastAsia="en-US" w:bidi="ar-SA"/>
      </w:rPr>
    </w:lvl>
    <w:lvl w:ilvl="7">
      <w:start w:val="0"/>
      <w:numFmt w:val="bullet"/>
      <w:lvlText w:val="•"/>
      <w:lvlJc w:val="left"/>
      <w:pPr>
        <w:ind w:left="7302" w:hanging="461"/>
      </w:pPr>
      <w:rPr>
        <w:rFonts w:hint="default"/>
        <w:lang w:val="es-ES" w:eastAsia="en-US" w:bidi="ar-SA"/>
      </w:rPr>
    </w:lvl>
    <w:lvl w:ilvl="8">
      <w:start w:val="0"/>
      <w:numFmt w:val="bullet"/>
      <w:lvlText w:val="•"/>
      <w:lvlJc w:val="left"/>
      <w:pPr>
        <w:ind w:left="8228" w:hanging="461"/>
      </w:pPr>
      <w:rPr>
        <w:rFonts w:hint="default"/>
        <w:lang w:val="es-ES" w:eastAsia="en-US" w:bidi="ar-SA"/>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s-ES" w:eastAsia="en-US" w:bidi="ar-SA"/>
    </w:rPr>
  </w:style>
  <w:style w:styleId="BodyText" w:type="paragraph">
    <w:name w:val="Body Text"/>
    <w:basedOn w:val="Normal"/>
    <w:uiPriority w:val="1"/>
    <w:qFormat/>
    <w:pPr>
      <w:ind w:left="360"/>
      <w:jc w:val="both"/>
    </w:pPr>
    <w:rPr>
      <w:rFonts w:ascii="Arial MT" w:hAnsi="Arial MT" w:eastAsia="Arial MT" w:cs="Arial MT"/>
      <w:sz w:val="28"/>
      <w:szCs w:val="28"/>
      <w:lang w:val="es-ES" w:eastAsia="en-US" w:bidi="ar-SA"/>
    </w:rPr>
  </w:style>
  <w:style w:styleId="Heading1" w:type="paragraph">
    <w:name w:val="Heading 1"/>
    <w:basedOn w:val="Normal"/>
    <w:uiPriority w:val="1"/>
    <w:qFormat/>
    <w:pPr>
      <w:ind w:right="2220" w:hanging="644"/>
      <w:outlineLvl w:val="1"/>
    </w:pPr>
    <w:rPr>
      <w:rFonts w:ascii="Arial" w:hAnsi="Arial" w:eastAsia="Arial" w:cs="Arial"/>
      <w:b/>
      <w:bCs/>
      <w:sz w:val="28"/>
      <w:szCs w:val="28"/>
      <w:lang w:val="es-ES" w:eastAsia="en-US" w:bidi="ar-SA"/>
    </w:rPr>
  </w:style>
  <w:style w:styleId="Heading2" w:type="paragraph">
    <w:name w:val="Heading 2"/>
    <w:basedOn w:val="Normal"/>
    <w:uiPriority w:val="1"/>
    <w:qFormat/>
    <w:pPr>
      <w:outlineLvl w:val="2"/>
    </w:pPr>
    <w:rPr>
      <w:rFonts w:ascii="Arial" w:hAnsi="Arial" w:eastAsia="Arial" w:cs="Arial"/>
      <w:b/>
      <w:bCs/>
      <w:i/>
      <w:iCs/>
      <w:sz w:val="28"/>
      <w:szCs w:val="28"/>
      <w:lang w:val="es-ES" w:eastAsia="en-US" w:bidi="ar-SA"/>
    </w:rPr>
  </w:style>
  <w:style w:styleId="ListParagraph" w:type="paragraph">
    <w:name w:val="List Paragraph"/>
    <w:basedOn w:val="Normal"/>
    <w:uiPriority w:val="1"/>
    <w:qFormat/>
    <w:pPr>
      <w:ind w:left="811" w:right="362" w:hanging="452"/>
      <w:jc w:val="both"/>
    </w:pPr>
    <w:rPr>
      <w:rFonts w:ascii="Arial MT" w:hAnsi="Arial MT" w:eastAsia="Arial MT" w:cs="Arial MT"/>
      <w:lang w:val="es-ES" w:eastAsia="en-US" w:bidi="ar-SA"/>
    </w:rPr>
  </w:style>
  <w:style w:styleId="TableParagraph" w:type="paragraph">
    <w:name w:val="Table Paragraph"/>
    <w:basedOn w:val="Normal"/>
    <w:uiPriority w:val="1"/>
    <w:qFormat/>
    <w:pPr/>
    <w:rPr>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Arianny Seijo Noguera</dc:creator>
  <dcterms:created xsi:type="dcterms:W3CDTF">2026-02-08T20:39:22Z</dcterms:created>
  <dcterms:modified xsi:type="dcterms:W3CDTF">2026-02-08T20:39:22Z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2026-02-06T00:00:00Z</vt:filetime>
  </property>
  <property fmtid="{D5CDD505-2E9C-101B-9397-08002B2CF9AE}" pid="3" name="Creator">
    <vt:lpwstr>Microsoft® Word 2016</vt:lpwstr>
  </property>
  <property fmtid="{D5CDD505-2E9C-101B-9397-08002B2CF9AE}" pid="4" name="LastSaved">
    <vt:filetime>2026-02-08T00:00:00Z</vt:filetime>
  </property>
  <property fmtid="{D5CDD505-2E9C-101B-9397-08002B2CF9AE}" pid="5" name="Producer">
    <vt:lpwstr>www.ilovepdf.com</vt:lpwstr>
  </property>
</Properties>
</file>