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107A3" w14:textId="77777777" w:rsidR="00F5021F" w:rsidRPr="00F5021F" w:rsidRDefault="00F5021F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DEPARTAMENTO DEL TESORO</w:t>
      </w:r>
    </w:p>
    <w:p w14:paraId="655EF472" w14:textId="77777777" w:rsidR="00F5021F" w:rsidRPr="00F5021F" w:rsidRDefault="00F5021F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WASHINGTON, D.C.</w:t>
      </w:r>
    </w:p>
    <w:p w14:paraId="2B0910AC" w14:textId="77777777" w:rsidR="00F5021F" w:rsidRPr="00F5021F" w:rsidRDefault="00F5021F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</w:p>
    <w:p w14:paraId="754B5265" w14:textId="2DBDA30D" w:rsidR="00F5021F" w:rsidRPr="00F5021F" w:rsidRDefault="00E470DE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OFICINA DE CONTROL DE ACTIVOS EXTRANJEROS</w:t>
      </w:r>
    </w:p>
    <w:p w14:paraId="02186AD7" w14:textId="5F24F267" w:rsidR="00F5021F" w:rsidRPr="00F5021F" w:rsidRDefault="00E470DE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Reglamento de Sanciones de Venezuela</w:t>
      </w:r>
    </w:p>
    <w:p w14:paraId="4675FDCD" w14:textId="77777777" w:rsidR="00F5021F" w:rsidRPr="00F5021F" w:rsidRDefault="00F5021F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</w:p>
    <w:p w14:paraId="67115B4F" w14:textId="3F0BE5A7" w:rsidR="00F5021F" w:rsidRPr="00F5021F" w:rsidRDefault="00E470DE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 xml:space="preserve">31 CFR parte 591 LICENCIA GENERAL </w:t>
      </w:r>
      <w:proofErr w:type="spellStart"/>
      <w:r w:rsidRPr="00F5021F">
        <w:rPr>
          <w:rStyle w:val="rynqvb"/>
          <w:rFonts w:ascii="Calibri Light" w:hAnsi="Calibri Light" w:cs="Calibri Light"/>
          <w:b/>
          <w:bCs/>
          <w:lang w:val="es-ES"/>
        </w:rPr>
        <w:t>N.°</w:t>
      </w:r>
      <w:proofErr w:type="spellEnd"/>
      <w:r w:rsidRPr="00F5021F">
        <w:rPr>
          <w:rStyle w:val="hwtze"/>
          <w:rFonts w:ascii="Calibri Light" w:hAnsi="Calibri Light" w:cs="Calibri Light"/>
          <w:b/>
          <w:bCs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46A</w:t>
      </w:r>
    </w:p>
    <w:p w14:paraId="42FCB548" w14:textId="77777777" w:rsidR="00F5021F" w:rsidRPr="00F5021F" w:rsidRDefault="00E470DE" w:rsidP="00F5021F">
      <w:pPr>
        <w:spacing w:after="0" w:line="240" w:lineRule="auto"/>
        <w:jc w:val="center"/>
        <w:rPr>
          <w:rStyle w:val="rynqvb"/>
          <w:rFonts w:ascii="Calibri Light" w:hAnsi="Calibri Light" w:cs="Calibri Light"/>
          <w:b/>
          <w:bCs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Autorización de Ciertas Actividades Relativas al Petróleo de Origen Venezolano</w:t>
      </w:r>
    </w:p>
    <w:p w14:paraId="1819CC3F" w14:textId="77777777" w:rsidR="00F5021F" w:rsidRDefault="00F5021F">
      <w:pPr>
        <w:rPr>
          <w:rStyle w:val="rynqvb"/>
          <w:rFonts w:ascii="Calibri Light" w:hAnsi="Calibri Light" w:cs="Calibri Light"/>
          <w:lang w:val="es-ES"/>
        </w:rPr>
      </w:pPr>
    </w:p>
    <w:p w14:paraId="272EC23B" w14:textId="77777777" w:rsidR="00F5021F" w:rsidRDefault="00E470DE" w:rsidP="00F5021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(a)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Salvo lo dispuesto en el párrafo (b) de esta licencia general,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se autorizan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todas las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transacciones prohibidas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por el Reglamento de Sanciones a Venezuela, 31 CFR parte 591 (el VSR), incluidas aquellas que involucran al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Gobierno de Venezuela, Petróleos de Venezuela, S.A. (</w:t>
      </w:r>
      <w:proofErr w:type="spellStart"/>
      <w:r w:rsidRPr="00F5021F">
        <w:rPr>
          <w:rStyle w:val="rynqvb"/>
          <w:rFonts w:ascii="Calibri Light" w:hAnsi="Calibri Light" w:cs="Calibri Light"/>
          <w:u w:val="single"/>
          <w:lang w:val="es-ES"/>
        </w:rPr>
        <w:t>PdVSA</w:t>
      </w:r>
      <w:proofErr w:type="spellEnd"/>
      <w:r w:rsidRPr="00F5021F">
        <w:rPr>
          <w:rStyle w:val="rynqvb"/>
          <w:rFonts w:ascii="Calibri Light" w:hAnsi="Calibri Light" w:cs="Calibri Light"/>
          <w:u w:val="single"/>
          <w:lang w:val="es-ES"/>
        </w:rPr>
        <w:t xml:space="preserve">) o cualquier entidad en la que </w:t>
      </w:r>
      <w:proofErr w:type="spellStart"/>
      <w:r w:rsidRPr="00F5021F">
        <w:rPr>
          <w:rStyle w:val="rynqvb"/>
          <w:rFonts w:ascii="Calibri Light" w:hAnsi="Calibri Light" w:cs="Calibri Light"/>
          <w:u w:val="single"/>
          <w:lang w:val="es-ES"/>
        </w:rPr>
        <w:t>PdVSA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 xml:space="preserve"> posea, directa o indirectamente, una participación del 50% o más (en conjunto, las “Entidades de </w:t>
      </w:r>
      <w:proofErr w:type="spellStart"/>
      <w:r w:rsidRPr="00F5021F">
        <w:rPr>
          <w:rStyle w:val="rynqvb"/>
          <w:rFonts w:ascii="Calibri Light" w:hAnsi="Calibri Light" w:cs="Calibri Light"/>
          <w:lang w:val="es-ES"/>
        </w:rPr>
        <w:t>PdVSA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 xml:space="preserve">”),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que sean inherentes y necesarias para la extracción, exportación, reexportación, venta, reventa, suministro, almacenamiento, comercialización, compra, entrega o transporte de petróleo de origen venezolano, incluida la refinación de dicho petróleo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, por parte de una entidad estadounidense establecida, siempre que: </w:t>
      </w:r>
    </w:p>
    <w:p w14:paraId="0C2D5B7C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683C07A" w14:textId="77777777" w:rsidR="00F5021F" w:rsidRDefault="00E470DE" w:rsidP="00F5021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Cualquier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contrato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para dichas transacciones con el Gobierno de Venezuela, </w:t>
      </w:r>
      <w:proofErr w:type="spellStart"/>
      <w:r w:rsidRPr="00F5021F">
        <w:rPr>
          <w:rStyle w:val="rynqvb"/>
          <w:rFonts w:ascii="Calibri Light" w:hAnsi="Calibri Light" w:cs="Calibri Light"/>
          <w:lang w:val="es-ES"/>
        </w:rPr>
        <w:t>PdVSA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 xml:space="preserve"> o las Entidades de </w:t>
      </w:r>
      <w:proofErr w:type="spellStart"/>
      <w:r w:rsidRPr="00F5021F">
        <w:rPr>
          <w:rStyle w:val="rynqvb"/>
          <w:rFonts w:ascii="Calibri Light" w:hAnsi="Calibri Light" w:cs="Calibri Light"/>
          <w:lang w:val="es-ES"/>
        </w:rPr>
        <w:t>PdVSA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especifique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que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las leyes de los Estados Unidos o de cualquier jurisdicción dentro</w:t>
      </w:r>
      <w:r w:rsidRPr="00F5021F">
        <w:rPr>
          <w:rStyle w:val="hwtze"/>
          <w:rFonts w:ascii="Calibri Light" w:hAnsi="Calibri Light" w:cs="Calibri Light"/>
          <w:u w:val="single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 xml:space="preserve">El contrato se rige por los Estados Unidos y cualquier resolución de disputas en virtud </w:t>
      </w:r>
      <w:proofErr w:type="gramStart"/>
      <w:r w:rsidRPr="00F5021F">
        <w:rPr>
          <w:rStyle w:val="rynqvb"/>
          <w:rFonts w:ascii="Calibri Light" w:hAnsi="Calibri Light" w:cs="Calibri Light"/>
          <w:u w:val="single"/>
          <w:lang w:val="es-ES"/>
        </w:rPr>
        <w:t>del mismo</w:t>
      </w:r>
      <w:proofErr w:type="gramEnd"/>
      <w:r w:rsidRPr="00F5021F">
        <w:rPr>
          <w:rStyle w:val="rynqvb"/>
          <w:rFonts w:ascii="Calibri Light" w:hAnsi="Calibri Light" w:cs="Calibri Light"/>
          <w:u w:val="single"/>
          <w:lang w:val="es-ES"/>
        </w:rPr>
        <w:t xml:space="preserve"> se lleva a cabo en Estados Unidos</w:t>
      </w:r>
      <w:r w:rsidRPr="00F5021F">
        <w:rPr>
          <w:rStyle w:val="rynqvb"/>
          <w:rFonts w:ascii="Calibri Light" w:hAnsi="Calibri Light" w:cs="Calibri Light"/>
          <w:lang w:val="es-ES"/>
        </w:rPr>
        <w:t>;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y </w:t>
      </w:r>
    </w:p>
    <w:p w14:paraId="52D5FCBC" w14:textId="77777777" w:rsidR="00F5021F" w:rsidRDefault="00F5021F">
      <w:pPr>
        <w:rPr>
          <w:rStyle w:val="rynqvb"/>
          <w:rFonts w:ascii="Calibri Light" w:hAnsi="Calibri Light" w:cs="Calibri Light"/>
          <w:lang w:val="es-ES"/>
        </w:rPr>
      </w:pPr>
    </w:p>
    <w:p w14:paraId="231B21C2" w14:textId="77777777" w:rsidR="00F5021F" w:rsidRDefault="00E470DE" w:rsidP="00F5021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Cualquier pago monetario a una persona bloqueada, excluyendo los pagos de impuestos, permisos o tasas locales, se realiza a los Fondos de Depósito de Gobiernos Extranjeros, según lo especificado en la Orden Ejecutiva 14373 del 9 de enero de 2026, o a cualquier otra cuenta según lo indique el Departamento del Tesoro de los Estados Unidos. </w:t>
      </w:r>
    </w:p>
    <w:p w14:paraId="3FA7E2DF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351A73A6" w14:textId="77777777" w:rsidR="00F5021F" w:rsidRDefault="00E470DE" w:rsidP="00F5021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Nota 1 del Párrafo (a).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A los efectos de esta licencia general, el término "entidad estadounidense establecida" se refiere a cualquier entidad organizada bajo las leyes de los Estados Unidos o cualquier jurisdicción dentro de los Estados Unidos el 29 de enero de 2025 o antes. </w:t>
      </w:r>
    </w:p>
    <w:p w14:paraId="1331669B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7ADA3CC8" w14:textId="77777777" w:rsidR="00F5021F" w:rsidRDefault="00E470DE" w:rsidP="00F5021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b/>
          <w:bCs/>
          <w:lang w:val="es-ES"/>
        </w:rPr>
        <w:t>Nota 2 del Párrafo (a).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Las transacciones autorizadas por el párrafo (a) incluyen la gestión de servicios de transporte marítimo y logístico, incluyendo el fletamento de buques, la obtención de seguros marítimos y cobertura de protección e indemnización (P&amp;I), y la gestión de servicios portuarios y de terminal, incluso con autoridades portuarias u operadores de terminales pertenecientes al Gobierno de Venezuela. El párrafo (a) también autoriza pagos comercialmente razonables en forma de canjes de petróleo crudo, diluyentes o productos petrolíferos refinados. </w:t>
      </w:r>
    </w:p>
    <w:p w14:paraId="30AF6F92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7026E392" w14:textId="215ABA72" w:rsidR="00F5021F" w:rsidRDefault="00E470DE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lastRenderedPageBreak/>
        <w:t>(b)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Esta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licencia general no autoriza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: </w:t>
      </w:r>
    </w:p>
    <w:p w14:paraId="40BDC885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2DA367B7" w14:textId="77777777" w:rsidR="00F5021F" w:rsidRDefault="00E470DE" w:rsidP="00F5021F">
      <w:pPr>
        <w:spacing w:after="0" w:line="240" w:lineRule="auto"/>
        <w:jc w:val="both"/>
        <w:rPr>
          <w:rStyle w:val="hwtze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u w:val="single"/>
          <w:lang w:val="es-ES"/>
        </w:rPr>
        <w:t>Condiciones de pago que no sean comercialmente razonables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, que impliquen canjes de deuda o pagos en oro, o que estén denominadas en moneda digital, </w:t>
      </w:r>
      <w:proofErr w:type="gramStart"/>
      <w:r w:rsidRPr="00F5021F">
        <w:rPr>
          <w:rStyle w:val="rynqvb"/>
          <w:rFonts w:ascii="Calibri Light" w:hAnsi="Calibri Light" w:cs="Calibri Light"/>
          <w:lang w:val="es-ES"/>
        </w:rPr>
        <w:t>moneda digital o tokens digitales</w:t>
      </w:r>
      <w:proofErr w:type="gramEnd"/>
      <w:r w:rsidRPr="00F5021F">
        <w:rPr>
          <w:rStyle w:val="rynqvb"/>
          <w:rFonts w:ascii="Calibri Light" w:hAnsi="Calibri Light" w:cs="Calibri Light"/>
          <w:lang w:val="es-ES"/>
        </w:rPr>
        <w:t xml:space="preserve"> emitidos por, para o en nombre del Gobierno de Venezuela, incluido el </w:t>
      </w:r>
      <w:proofErr w:type="spellStart"/>
      <w:r w:rsidRPr="00F5021F">
        <w:rPr>
          <w:rStyle w:val="rynqvb"/>
          <w:rFonts w:ascii="Calibri Light" w:hAnsi="Calibri Light" w:cs="Calibri Light"/>
          <w:lang w:val="es-ES"/>
        </w:rPr>
        <w:t>petro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>;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</w:p>
    <w:p w14:paraId="40F770AE" w14:textId="77777777" w:rsidR="00F5021F" w:rsidRDefault="00F5021F" w:rsidP="00F5021F">
      <w:pPr>
        <w:spacing w:after="0" w:line="240" w:lineRule="auto"/>
        <w:rPr>
          <w:rStyle w:val="hwtze"/>
          <w:rFonts w:ascii="Calibri Light" w:hAnsi="Calibri Light" w:cs="Calibri Light"/>
          <w:lang w:val="es-ES"/>
        </w:rPr>
      </w:pPr>
    </w:p>
    <w:p w14:paraId="48B0032B" w14:textId="77777777" w:rsidR="00F5021F" w:rsidRDefault="00E470DE" w:rsidP="00F5021F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Cualquier transacción que involucre a una persona ubicada u organizada bajo las leyes de la Federación Rusa, la República Islámica de Irán, la República Popular Democrática de Corea, la República de Cuba, o cualquier entidad que sea propiedad o esté controlada, directa o indirectamente, por o en una empresa conjunta con dichas personas; </w:t>
      </w:r>
    </w:p>
    <w:p w14:paraId="0DFFCDD0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4840A9B1" w14:textId="77777777" w:rsidR="00F5021F" w:rsidRDefault="00E470DE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(3)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Cualquier transacción que involucre a una entidad ubicada u organizada bajo las leyes de Venezuela o los Estados Unidos que sea propiedad o esté controlada, directa o indirectamente, por o en una empresa conjunta con una persona ubicada u organizada bajo las leyes de la República Popular China; </w:t>
      </w:r>
    </w:p>
    <w:p w14:paraId="60F2D32F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3BEBE56A" w14:textId="77777777" w:rsidR="00F5021F" w:rsidRDefault="00E470DE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(4)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El desbloqueo de cualquier propiedad bloqueada de conformidad con el VSR;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o </w:t>
      </w:r>
    </w:p>
    <w:p w14:paraId="4752C5A9" w14:textId="77777777" w:rsidR="00F5021F" w:rsidRDefault="00F5021F" w:rsidP="00F5021F">
      <w:pPr>
        <w:spacing w:after="0" w:line="240" w:lineRule="auto"/>
        <w:rPr>
          <w:rStyle w:val="rynqvb"/>
          <w:rFonts w:ascii="Calibri Light" w:hAnsi="Calibri Light" w:cs="Calibri Light"/>
          <w:lang w:val="es-ES"/>
        </w:rPr>
      </w:pPr>
    </w:p>
    <w:p w14:paraId="76C4DF4B" w14:textId="77777777" w:rsidR="0011000B" w:rsidRDefault="00E470DE" w:rsidP="0011000B">
      <w:pPr>
        <w:spacing w:after="0" w:line="240" w:lineRule="auto"/>
        <w:jc w:val="both"/>
        <w:rPr>
          <w:rStyle w:val="hwtze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(5)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Cualquier transacción que involucre un buque bloqueado.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</w:p>
    <w:p w14:paraId="02257C16" w14:textId="77777777" w:rsidR="0011000B" w:rsidRDefault="0011000B" w:rsidP="0011000B">
      <w:pPr>
        <w:spacing w:after="0" w:line="240" w:lineRule="auto"/>
        <w:jc w:val="both"/>
        <w:rPr>
          <w:rStyle w:val="hwtze"/>
          <w:rFonts w:ascii="Calibri Light" w:hAnsi="Calibri Light" w:cs="Calibri Light"/>
          <w:lang w:val="es-ES"/>
        </w:rPr>
      </w:pPr>
    </w:p>
    <w:p w14:paraId="4AE5FAB5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(c)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Toda persona que exporte, reexporte, venda, revenda o suministre petróleo de origen venezolano a países distintos de Estados Unidos, de conformidad con esta licencia general, deberá </w:t>
      </w:r>
      <w:r w:rsidRPr="0011000B">
        <w:rPr>
          <w:rStyle w:val="rynqvb"/>
          <w:rFonts w:ascii="Calibri Light" w:hAnsi="Calibri Light" w:cs="Calibri Light"/>
          <w:u w:val="single"/>
          <w:lang w:val="es-ES"/>
        </w:rPr>
        <w:t>presentar un informe detallado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a Sanctions_inbox@state.gov y VZReporting@doe.gov que identifique, para cada una de estas transacciones: </w:t>
      </w:r>
    </w:p>
    <w:p w14:paraId="04B9E3CB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2E03A8A2" w14:textId="73CFC4B2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(1)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Las partes involucradas; </w:t>
      </w:r>
    </w:p>
    <w:p w14:paraId="219F15C6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22CF0555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(2)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Las cantidades, valores y países de destino final; </w:t>
      </w:r>
    </w:p>
    <w:p w14:paraId="242DA3F3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2F2622EA" w14:textId="7B0C5BE0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(3)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Las fechas en que se realizaron las transacciones;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y </w:t>
      </w:r>
    </w:p>
    <w:p w14:paraId="02018229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6BF5CF21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(4)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Cualquier impuesto, tasa u otro pago realizado al Gobierno de Venezuela. </w:t>
      </w:r>
    </w:p>
    <w:p w14:paraId="49BC35F2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2A8634A8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(d)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Los informes descritos en el párrafo (c) deben presentarse diez días después de la ejecución de la primera de dichas transacciones y cada 90 días a partir de entonces, mientras dichas transacciones estén en curso. </w:t>
      </w:r>
    </w:p>
    <w:p w14:paraId="5D4F8518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4C9E550E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>(e)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 </w:t>
      </w:r>
      <w:r w:rsidRPr="009A3295">
        <w:rPr>
          <w:rStyle w:val="rynqvb"/>
          <w:rFonts w:ascii="Calibri Light" w:hAnsi="Calibri Light" w:cs="Calibri Light"/>
          <w:u w:val="single"/>
          <w:lang w:val="es-ES"/>
        </w:rPr>
        <w:t>A partir del 10 de febrero de 2026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, la Licencia General </w:t>
      </w:r>
      <w:proofErr w:type="spellStart"/>
      <w:r w:rsidRPr="00F5021F">
        <w:rPr>
          <w:rStyle w:val="rynqvb"/>
          <w:rFonts w:ascii="Calibri Light" w:hAnsi="Calibri Light" w:cs="Calibri Light"/>
          <w:lang w:val="es-ES"/>
        </w:rPr>
        <w:t>N.°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 xml:space="preserve"> 46, de fecha 29 de enero de 2026, queda reemplazada en su totalidad por esta Licencia General </w:t>
      </w:r>
      <w:proofErr w:type="spellStart"/>
      <w:r w:rsidRPr="00F5021F">
        <w:rPr>
          <w:rStyle w:val="rynqvb"/>
          <w:rFonts w:ascii="Calibri Light" w:hAnsi="Calibri Light" w:cs="Calibri Light"/>
          <w:lang w:val="es-ES"/>
        </w:rPr>
        <w:t>N.°</w:t>
      </w:r>
      <w:proofErr w:type="spellEnd"/>
      <w:r w:rsidRPr="00F5021F">
        <w:rPr>
          <w:rStyle w:val="rynqvb"/>
          <w:rFonts w:ascii="Calibri Light" w:hAnsi="Calibri Light" w:cs="Calibri Light"/>
          <w:lang w:val="es-ES"/>
        </w:rPr>
        <w:t xml:space="preserve"> 46A. </w:t>
      </w:r>
    </w:p>
    <w:p w14:paraId="20961185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3072F43C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11000B">
        <w:rPr>
          <w:rStyle w:val="rynqvb"/>
          <w:rFonts w:ascii="Calibri Light" w:hAnsi="Calibri Light" w:cs="Calibri Light"/>
          <w:b/>
          <w:bCs/>
          <w:lang w:val="es-ES"/>
        </w:rPr>
        <w:t xml:space="preserve">Nota a la Licencia General </w:t>
      </w:r>
      <w:proofErr w:type="spellStart"/>
      <w:r w:rsidRPr="0011000B">
        <w:rPr>
          <w:rStyle w:val="rynqvb"/>
          <w:rFonts w:ascii="Calibri Light" w:hAnsi="Calibri Light" w:cs="Calibri Light"/>
          <w:b/>
          <w:bCs/>
          <w:lang w:val="es-ES"/>
        </w:rPr>
        <w:t>N.°</w:t>
      </w:r>
      <w:proofErr w:type="spellEnd"/>
      <w:r w:rsidRPr="0011000B">
        <w:rPr>
          <w:rStyle w:val="rynqvb"/>
          <w:rFonts w:ascii="Calibri Light" w:hAnsi="Calibri Light" w:cs="Calibri Light"/>
          <w:b/>
          <w:bCs/>
          <w:lang w:val="es-ES"/>
        </w:rPr>
        <w:t xml:space="preserve"> 46A.</w:t>
      </w:r>
      <w:r w:rsidRPr="00F5021F">
        <w:rPr>
          <w:rStyle w:val="hwtze"/>
          <w:rFonts w:ascii="Calibri Light" w:hAnsi="Calibri Light" w:cs="Calibri Light"/>
          <w:lang w:val="es-ES"/>
        </w:rPr>
        <w:t xml:space="preserve"> </w:t>
      </w:r>
      <w:r w:rsidRPr="00F5021F">
        <w:rPr>
          <w:rStyle w:val="rynqvb"/>
          <w:rFonts w:ascii="Calibri Light" w:hAnsi="Calibri Light" w:cs="Calibri Light"/>
          <w:lang w:val="es-ES"/>
        </w:rPr>
        <w:t xml:space="preserve">Nada de lo dispuesto en esta licencia general exime a ninguna persona del cumplimiento de los requisitos de otras agencias federales, incluida la Oficina de Industria y Seguridad del Departamento de Comercio. </w:t>
      </w:r>
    </w:p>
    <w:p w14:paraId="15EE70FD" w14:textId="77777777" w:rsidR="0011000B" w:rsidRDefault="0011000B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</w:p>
    <w:p w14:paraId="21BD8C69" w14:textId="162148B1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lang w:val="es-ES"/>
        </w:rPr>
        <w:lastRenderedPageBreak/>
        <w:t xml:space="preserve">Bradley T. Smith </w:t>
      </w:r>
    </w:p>
    <w:p w14:paraId="11160DEF" w14:textId="77777777" w:rsidR="0011000B" w:rsidRDefault="00E470DE" w:rsidP="0011000B">
      <w:pPr>
        <w:spacing w:after="0" w:line="240" w:lineRule="auto"/>
        <w:jc w:val="both"/>
        <w:rPr>
          <w:rStyle w:val="rynqvb"/>
          <w:rFonts w:ascii="Calibri Light" w:hAnsi="Calibri Light" w:cs="Calibri Light"/>
          <w:lang w:val="es-ES"/>
        </w:rPr>
      </w:pPr>
      <w:r w:rsidRPr="00F5021F">
        <w:rPr>
          <w:rStyle w:val="rynqvb"/>
          <w:rFonts w:ascii="Calibri Light" w:hAnsi="Calibri Light" w:cs="Calibri Light"/>
          <w:lang w:val="es-ES"/>
        </w:rPr>
        <w:t xml:space="preserve">Director de la Oficina de Control de Activos Extranjeros </w:t>
      </w:r>
    </w:p>
    <w:p w14:paraId="69525DCE" w14:textId="7FC058A7" w:rsidR="00E470DE" w:rsidRPr="00F5021F" w:rsidRDefault="00E470DE" w:rsidP="0011000B">
      <w:pPr>
        <w:spacing w:after="0" w:line="240" w:lineRule="auto"/>
        <w:jc w:val="both"/>
        <w:rPr>
          <w:rFonts w:ascii="Calibri Light" w:hAnsi="Calibri Light" w:cs="Calibri Light"/>
        </w:rPr>
      </w:pPr>
      <w:r w:rsidRPr="00F5021F">
        <w:rPr>
          <w:rStyle w:val="rynqvb"/>
          <w:rFonts w:ascii="Calibri Light" w:hAnsi="Calibri Light" w:cs="Calibri Light"/>
          <w:lang w:val="es-ES"/>
        </w:rPr>
        <w:t>Fecha: 10 de febrero de 2026</w:t>
      </w:r>
    </w:p>
    <w:sectPr w:rsidR="00E470DE" w:rsidRPr="00F502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0DE"/>
    <w:rsid w:val="0011000B"/>
    <w:rsid w:val="009A3295"/>
    <w:rsid w:val="00A646EC"/>
    <w:rsid w:val="00E470DE"/>
    <w:rsid w:val="00F5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3431C5"/>
  <w15:chartTrackingRefBased/>
  <w15:docId w15:val="{CA1945D2-6BFB-1545-8954-473980054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21F"/>
  </w:style>
  <w:style w:type="paragraph" w:styleId="Ttulo1">
    <w:name w:val="heading 1"/>
    <w:basedOn w:val="Normal"/>
    <w:next w:val="Normal"/>
    <w:link w:val="Ttulo1Car"/>
    <w:uiPriority w:val="9"/>
    <w:qFormat/>
    <w:rsid w:val="00E470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70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70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70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70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70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70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70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70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70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70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70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70D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70D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70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70D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70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70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470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70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470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70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470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70D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470D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70D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70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70D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470DE"/>
    <w:rPr>
      <w:b/>
      <w:bCs/>
      <w:smallCaps/>
      <w:color w:val="0F4761" w:themeColor="accent1" w:themeShade="BF"/>
      <w:spacing w:val="5"/>
    </w:rPr>
  </w:style>
  <w:style w:type="character" w:customStyle="1" w:styleId="hwtze">
    <w:name w:val="hwtze"/>
    <w:basedOn w:val="Fuentedeprrafopredeter"/>
    <w:rsid w:val="00E470DE"/>
  </w:style>
  <w:style w:type="character" w:customStyle="1" w:styleId="rynqvb">
    <w:name w:val="rynqvb"/>
    <w:basedOn w:val="Fuentedeprrafopredeter"/>
    <w:rsid w:val="00E47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755</Words>
  <Characters>4140</Characters>
  <Application>Microsoft Office Word</Application>
  <DocSecurity>0</DocSecurity>
  <Lines>90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3</cp:revision>
  <dcterms:created xsi:type="dcterms:W3CDTF">2026-02-11T14:44:00Z</dcterms:created>
  <dcterms:modified xsi:type="dcterms:W3CDTF">2026-02-11T15:33:00Z</dcterms:modified>
</cp:coreProperties>
</file>